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spacing w:line="312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Информация </w:t>
      </w:r>
    </w:p>
    <w:p w14:paraId="05000000">
      <w:pPr>
        <w:spacing w:line="312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к заседанию Правительства Камчатского края</w:t>
      </w:r>
    </w:p>
    <w:p w14:paraId="06000000">
      <w:pPr>
        <w:spacing w:line="312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по вопросу «Об итогах исполнения краевого бюджета за 1 полугодие 2023 года»</w:t>
      </w:r>
    </w:p>
    <w:p w14:paraId="07000000">
      <w:pPr>
        <w:spacing w:line="312" w:lineRule="auto"/>
        <w:ind/>
        <w:rPr>
          <w:b w:val="1"/>
          <w:sz w:val="28"/>
        </w:rPr>
      </w:pPr>
    </w:p>
    <w:p w14:paraId="08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Исполнение краевого бюджета в 2023 году осуществлялось на основании Закона Камчатского края от 29.11.2022 № 155</w:t>
      </w:r>
      <w:r>
        <w:rPr>
          <w:sz w:val="28"/>
        </w:rPr>
        <w:t xml:space="preserve"> «О краевом бюджете на 2023 год и на плановый период 2024 и 2025 годов».</w:t>
      </w:r>
    </w:p>
    <w:p w14:paraId="09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Бюджетные обязательства в 1 полугодии 2023 года обеспечивались в установленные сроки и в необходимых объемах. </w:t>
      </w:r>
    </w:p>
    <w:p w14:paraId="0A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Исполнение основных параметров краевого бюджета за 1 полугодие 2023 года</w:t>
      </w:r>
      <w:r>
        <w:rPr>
          <w:sz w:val="28"/>
        </w:rPr>
        <w:t xml:space="preserve"> составило:</w:t>
      </w:r>
    </w:p>
    <w:p w14:paraId="0B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– по доходам – 54,5 млрд рублей или 48,1 % от утвержденного плана;</w:t>
      </w:r>
    </w:p>
    <w:p w14:paraId="0C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– по расходам – 55,6 млрд рублей или 46,8 % от утвержденного плана; </w:t>
      </w:r>
    </w:p>
    <w:p w14:paraId="0D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– дефицит сложился в сумме 1,1 млрд рублей. </w:t>
      </w:r>
    </w:p>
    <w:p w14:paraId="0E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За аналогичный период 2022 года исполнение по указанным показат</w:t>
      </w:r>
      <w:r>
        <w:rPr>
          <w:sz w:val="28"/>
        </w:rPr>
        <w:t>елям составило:</w:t>
      </w:r>
    </w:p>
    <w:p w14:paraId="0F000000">
      <w:pPr>
        <w:spacing w:line="288" w:lineRule="auto"/>
        <w:ind w:firstLine="709" w:left="0"/>
        <w:jc w:val="both"/>
        <w:rPr>
          <w:sz w:val="28"/>
        </w:rPr>
      </w:pPr>
      <w:r>
        <w:rPr>
          <w:sz w:val="28"/>
        </w:rPr>
        <w:t>– по доходам – 46,9 млрд рублей или 47,8 % от утвержденного плана;</w:t>
      </w:r>
    </w:p>
    <w:p w14:paraId="10000000">
      <w:pPr>
        <w:spacing w:line="288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– по расходам – 49,4 млрд рублей или 47,2 % от утвержденного плана; </w:t>
      </w:r>
    </w:p>
    <w:p w14:paraId="11000000">
      <w:pPr>
        <w:spacing w:line="288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– дефицит сложился в сумме 2,5 млрд рублей. </w:t>
      </w:r>
    </w:p>
    <w:p w14:paraId="12000000">
      <w:pPr>
        <w:spacing w:before="5" w:line="312" w:lineRule="auto"/>
        <w:ind w:right="43"/>
        <w:jc w:val="center"/>
        <w:rPr>
          <w:b w:val="1"/>
          <w:sz w:val="28"/>
        </w:rPr>
      </w:pPr>
    </w:p>
    <w:p w14:paraId="13000000">
      <w:pPr>
        <w:spacing w:before="5" w:line="312" w:lineRule="auto"/>
        <w:ind w:right="43"/>
        <w:jc w:val="center"/>
        <w:rPr>
          <w:b w:val="1"/>
          <w:sz w:val="28"/>
        </w:rPr>
      </w:pPr>
      <w:r>
        <w:rPr>
          <w:b w:val="1"/>
          <w:sz w:val="28"/>
        </w:rPr>
        <w:t>Доходы краевого бюджета</w:t>
      </w:r>
    </w:p>
    <w:p w14:paraId="14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Доходная часть краевого бюд</w:t>
      </w:r>
      <w:r>
        <w:rPr>
          <w:sz w:val="28"/>
        </w:rPr>
        <w:t>жета в отчетном периоде текущего финансового года формировалась за счет поступлений налоговых и неналоговых доходов, безвозмездных поступлений и ее объем на 01.07.2023 составил 54,5 млрд рублей или 48,1 % от плановых (прогнозных) назначений 2023 года.</w:t>
      </w:r>
    </w:p>
    <w:p w14:paraId="15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Пост</w:t>
      </w:r>
      <w:r>
        <w:rPr>
          <w:sz w:val="28"/>
        </w:rPr>
        <w:t xml:space="preserve">упление налоговых и неналоговых доходов за 1 полугодие 2023 года составило 17,1 млрд рублей или 42,6 % от плановых (прогнозных) назначений </w:t>
      </w:r>
      <w:r>
        <w:rPr>
          <w:sz w:val="28"/>
        </w:rPr>
        <w:br/>
      </w:r>
      <w:r>
        <w:rPr>
          <w:sz w:val="28"/>
        </w:rPr>
        <w:t xml:space="preserve">2023 года. Удельный вес налоговых и неналоговых доходов в общем объеме доходов составил 31,4 %. </w:t>
      </w:r>
    </w:p>
    <w:p w14:paraId="16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Поступление </w:t>
      </w:r>
      <w:r>
        <w:rPr>
          <w:b w:val="1"/>
          <w:sz w:val="28"/>
        </w:rPr>
        <w:t>налогов</w:t>
      </w:r>
      <w:r>
        <w:rPr>
          <w:b w:val="1"/>
          <w:sz w:val="28"/>
        </w:rPr>
        <w:t xml:space="preserve">ых доходов </w:t>
      </w:r>
      <w:r>
        <w:rPr>
          <w:sz w:val="28"/>
        </w:rPr>
        <w:t xml:space="preserve">за 1 полугодие 2023 года составило </w:t>
      </w:r>
      <w:r>
        <w:rPr>
          <w:sz w:val="28"/>
        </w:rPr>
        <w:br/>
      </w:r>
      <w:r>
        <w:rPr>
          <w:sz w:val="28"/>
        </w:rPr>
        <w:t>16,5 млрд рублей или 41,8 % от годовых плановых (прогнозных) назначений. Удельный вес налоговых доходов в общем объеме доходов составил 30,3 %.</w:t>
      </w:r>
    </w:p>
    <w:p w14:paraId="17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Поступление налоговых доходов за 1 полугодие 2022 года составило </w:t>
      </w:r>
      <w:r>
        <w:rPr>
          <w:sz w:val="28"/>
        </w:rPr>
        <w:br/>
      </w:r>
      <w:r>
        <w:rPr>
          <w:sz w:val="28"/>
        </w:rPr>
        <w:t xml:space="preserve">13,7 млрд рублей или 46,4 % от годовых плановых (прогнозных) назначений. Удельный вес налоговых доходов в общем объеме доходов составил 29,2 %. </w:t>
      </w:r>
    </w:p>
    <w:p w14:paraId="18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В целом, поступление налоговых доходов по сравнению с аналогичным </w:t>
      </w:r>
      <w:r>
        <w:rPr>
          <w:sz w:val="28"/>
        </w:rPr>
        <w:t>периодом 2022 года увеличилось на 2,8 млрд р</w:t>
      </w:r>
      <w:r>
        <w:rPr>
          <w:sz w:val="28"/>
        </w:rPr>
        <w:t>ублей или 20,8 %.</w:t>
      </w:r>
    </w:p>
    <w:p w14:paraId="19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За 1 полугодие 2023 года по сравнению с аналогичным периодом 2022 года обеспечен </w:t>
      </w:r>
      <w:r>
        <w:rPr>
          <w:i w:val="1"/>
          <w:sz w:val="28"/>
        </w:rPr>
        <w:t xml:space="preserve">рост поступлений </w:t>
      </w:r>
      <w:r>
        <w:rPr>
          <w:sz w:val="28"/>
        </w:rPr>
        <w:t>следующих налоговых доходов:</w:t>
      </w:r>
    </w:p>
    <w:p w14:paraId="1A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i w:val="1"/>
          <w:sz w:val="28"/>
        </w:rPr>
        <w:t>налога на прибыль организаций</w:t>
      </w:r>
      <w:r>
        <w:rPr>
          <w:sz w:val="28"/>
        </w:rPr>
        <w:t xml:space="preserve"> на 926,3 млн рублей или 34,2 % в связи с зачислением</w:t>
      </w:r>
      <w:r>
        <w:rPr>
          <w:sz w:val="28"/>
        </w:rPr>
        <w:t xml:space="preserve"> с 2023 года налога в размере 100 % в краевой бюджет (в 2022 году по нормативу в краевой бюджет зачислялось 82,0 %, в бюджеты городских (муниципальных) образований, муниципальных районов - 18,0 %). Кроме того, к росту поступлений привело увеличение размера</w:t>
      </w:r>
      <w:r>
        <w:rPr>
          <w:sz w:val="28"/>
        </w:rPr>
        <w:t xml:space="preserve"> начисленного налога и авансовых платежей по итогам 1 полугодия 2023 года по двум крупнейшим налогоплательщикам ПАО «Камчатскэнерго» и ПАО «Сбербанк России».</w:t>
      </w:r>
    </w:p>
    <w:p w14:paraId="1B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i w:val="1"/>
          <w:sz w:val="28"/>
        </w:rPr>
        <w:t>акцизов по подакцизным товарам (продукции)</w:t>
      </w:r>
      <w:r>
        <w:rPr>
          <w:sz w:val="28"/>
        </w:rPr>
        <w:t>, производимым на территории РФ на 108,0 млн рублей ил</w:t>
      </w:r>
      <w:r>
        <w:rPr>
          <w:sz w:val="28"/>
        </w:rPr>
        <w:t>и 8,9 % за счет роста доходов от уплаты акцизов на дизельное топливо и автомобильный бензин, подлежащих распределению между бюджетами бюджетной системы Российской Федерации по нормативам, установленным Федеральным законом о федеральном бюджете;</w:t>
      </w:r>
    </w:p>
    <w:p w14:paraId="1C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i w:val="1"/>
          <w:sz w:val="28"/>
        </w:rPr>
        <w:t>налога на</w:t>
      </w:r>
      <w:r>
        <w:rPr>
          <w:i w:val="1"/>
          <w:sz w:val="28"/>
        </w:rPr>
        <w:t xml:space="preserve"> имущество организаций</w:t>
      </w:r>
      <w:r>
        <w:rPr>
          <w:sz w:val="28"/>
        </w:rPr>
        <w:t xml:space="preserve"> на 222,5 млн рублей или 18,4 % за счет переоценки кадастровой стоимости имущества, а также эффективностью проводимой УФНС России по Камчатскому краю работы по администрированию поступлений;</w:t>
      </w:r>
    </w:p>
    <w:p w14:paraId="1D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i w:val="1"/>
          <w:sz w:val="28"/>
        </w:rPr>
        <w:t>сборов за пользование объектами водных би</w:t>
      </w:r>
      <w:r>
        <w:rPr>
          <w:i w:val="1"/>
          <w:sz w:val="28"/>
        </w:rPr>
        <w:t>ологических ресурсов</w:t>
      </w:r>
      <w:r>
        <w:rPr>
          <w:sz w:val="28"/>
        </w:rPr>
        <w:t xml:space="preserve"> на 1,8 млрд рублей или в 12,0 раз с учетом внесения изменений в статью 333 Налогового кодекса Российской Федерации, в части увеличения ставок сбора за пользование объектами водных биологических ресурсов во внутренних водных объектах (р</w:t>
      </w:r>
      <w:r>
        <w:rPr>
          <w:sz w:val="28"/>
        </w:rPr>
        <w:t>еки, озера, водохранилища) и во внутренних морских водах Российской Федерации, в территориальном море Российской Федерации и в исключительной экономической зоне и на континентальном шельфе Российской Федерации.</w:t>
      </w:r>
    </w:p>
    <w:p w14:paraId="1E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При этом, в отчетном периоде текущего финансо</w:t>
      </w:r>
      <w:r>
        <w:rPr>
          <w:sz w:val="28"/>
        </w:rPr>
        <w:t xml:space="preserve">вого года по сравнению с аналогичным периодом 2022 года отмечено снижение поступлений по </w:t>
      </w:r>
      <w:r>
        <w:rPr>
          <w:i w:val="1"/>
          <w:sz w:val="28"/>
        </w:rPr>
        <w:t>налогу на доходы физических лиц</w:t>
      </w:r>
      <w:r>
        <w:rPr>
          <w:sz w:val="28"/>
        </w:rPr>
        <w:t xml:space="preserve"> на 312,7 млн рублей или 4,3 % за счет снижения выплат дивидендов предприятиями рыбопромышленного комплекса по итогам лососевой путины 2</w:t>
      </w:r>
      <w:r>
        <w:rPr>
          <w:sz w:val="28"/>
        </w:rPr>
        <w:t>022 года.</w:t>
      </w:r>
    </w:p>
    <w:p w14:paraId="1F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Основная доля налоговых поступлений за 1 полугодие 2023 года обеспечена:</w:t>
      </w:r>
    </w:p>
    <w:p w14:paraId="20000000">
      <w:pPr>
        <w:numPr>
          <w:ilvl w:val="0"/>
          <w:numId w:val="1"/>
        </w:num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налогом на доходы физических лиц в сумме 6,9 млрд рублей или 41,8 % от общего объема налоговых доходов; </w:t>
      </w:r>
    </w:p>
    <w:p w14:paraId="21000000">
      <w:pPr>
        <w:numPr>
          <w:ilvl w:val="0"/>
          <w:numId w:val="1"/>
        </w:num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налогом на прибыль организаций в сумме 3,6 млрд рублей или 21,8 % от</w:t>
      </w:r>
      <w:r>
        <w:rPr>
          <w:sz w:val="28"/>
        </w:rPr>
        <w:t xml:space="preserve"> общего объема налоговых доходов; </w:t>
      </w:r>
    </w:p>
    <w:p w14:paraId="22000000">
      <w:pPr>
        <w:numPr>
          <w:ilvl w:val="0"/>
          <w:numId w:val="1"/>
        </w:num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сборами за пользование объектами водных биологических ресурсов 2,0 млрд рублей или 12,1 % от общего объема налоговых доходов.</w:t>
      </w:r>
    </w:p>
    <w:p w14:paraId="23000000">
      <w:pPr>
        <w:spacing w:line="312" w:lineRule="auto"/>
        <w:ind w:firstLine="708" w:left="0"/>
        <w:jc w:val="both"/>
        <w:rPr>
          <w:sz w:val="28"/>
        </w:rPr>
      </w:pPr>
      <w:r>
        <w:rPr>
          <w:sz w:val="28"/>
        </w:rPr>
        <w:t>Немаловажным фактором, оказавшим влияние на исполнение прогнозных (плановых) поступлений по нал</w:t>
      </w:r>
      <w:r>
        <w:rPr>
          <w:sz w:val="28"/>
        </w:rPr>
        <w:t>оговым доходам в отчетном периоде текущего финансового года стало внедрение с 1 января 2023 года института единого налогового счета. И если в 1 квартале 2023 года наблюдалось снижение поступлений налоговых доходов, то к завершению 2 квартала 2023 года ситу</w:t>
      </w:r>
      <w:r>
        <w:rPr>
          <w:sz w:val="28"/>
        </w:rPr>
        <w:t>ация с поступлением налоговых доходов в краевой бюджет стала выравниваться.</w:t>
      </w:r>
    </w:p>
    <w:p w14:paraId="24000000">
      <w:pPr>
        <w:spacing w:line="312" w:lineRule="auto"/>
        <w:ind w:firstLine="709" w:left="0"/>
        <w:jc w:val="both"/>
        <w:rPr>
          <w:sz w:val="28"/>
        </w:rPr>
      </w:pPr>
      <w:r>
        <w:rPr>
          <w:b w:val="1"/>
          <w:sz w:val="28"/>
        </w:rPr>
        <w:t>Неналоговые доходы</w:t>
      </w:r>
      <w:r>
        <w:rPr>
          <w:sz w:val="28"/>
        </w:rPr>
        <w:t xml:space="preserve"> краевого бюджета в отчетном периоде текущего финансового года составили 588,2 млн рублей или 96,8 % от годовых плановых назначений. Удельный вес в общем объеме п</w:t>
      </w:r>
      <w:r>
        <w:rPr>
          <w:sz w:val="28"/>
        </w:rPr>
        <w:t>оступлений составляет 1,1 %.</w:t>
      </w:r>
    </w:p>
    <w:p w14:paraId="25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В аналогичном периоде 2022 года поступление неналоговых доходов в краевой бюджет составило 620,9 млн рублей или 132,5 % от годовых плановых назначений. Удельный вес в общем объеме поступлений составляет 1,3 %.</w:t>
      </w:r>
    </w:p>
    <w:p w14:paraId="26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Основная доля нен</w:t>
      </w:r>
      <w:r>
        <w:rPr>
          <w:sz w:val="28"/>
        </w:rPr>
        <w:t>алоговых поступлений в отчетном периоде обеспечена:</w:t>
      </w:r>
    </w:p>
    <w:p w14:paraId="27000000">
      <w:pPr>
        <w:numPr>
          <w:ilvl w:val="0"/>
          <w:numId w:val="1"/>
        </w:num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доходами от операций по управлению остатками средств на едином казначейском счете, зачисляемыми в бюджеты субъектов Российской Федерации, в сумме 213,0 млн рублей или 36,2 % от общего объема неналоговых д</w:t>
      </w:r>
      <w:r>
        <w:rPr>
          <w:sz w:val="28"/>
        </w:rPr>
        <w:t>оходов;</w:t>
      </w:r>
    </w:p>
    <w:p w14:paraId="28000000">
      <w:pPr>
        <w:numPr>
          <w:ilvl w:val="0"/>
          <w:numId w:val="1"/>
        </w:num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 поступлениями от штрафов, санкций, возмещения ущерба в сумме </w:t>
      </w:r>
      <w:r>
        <w:rPr>
          <w:sz w:val="28"/>
        </w:rPr>
        <w:br/>
      </w:r>
      <w:r>
        <w:rPr>
          <w:sz w:val="28"/>
        </w:rPr>
        <w:t>227,7 млн рублей или 38,7 % от общего объема неналоговых доходов преимущественно, за счет обособления с 1 января 2023 года в отдельный код доходов пени за несвоевременное перечисление н</w:t>
      </w:r>
      <w:r>
        <w:rPr>
          <w:sz w:val="28"/>
        </w:rPr>
        <w:t>алогов налогоплательщиками (до 01.01.2023 пеня уплачивалась непосредственно по тому налогу по которому она была начислена).</w:t>
      </w:r>
    </w:p>
    <w:p w14:paraId="29000000">
      <w:pPr>
        <w:spacing w:line="312" w:lineRule="auto"/>
        <w:ind w:firstLine="709" w:left="0"/>
        <w:jc w:val="both"/>
        <w:rPr>
          <w:sz w:val="28"/>
        </w:rPr>
      </w:pPr>
      <w:r>
        <w:rPr>
          <w:b w:val="1"/>
          <w:sz w:val="28"/>
        </w:rPr>
        <w:t>Безвозмездные поступления</w:t>
      </w:r>
      <w:r>
        <w:rPr>
          <w:sz w:val="28"/>
        </w:rPr>
        <w:t xml:space="preserve"> в отчетном периоде текущего финансового года составили 37,4 млрд рублей или 51,2</w:t>
      </w:r>
      <w:r>
        <w:rPr>
          <w:sz w:val="28"/>
        </w:rPr>
        <w:t xml:space="preserve"> % от годовых плановых назначений. Их доля в общем объеме поступлений составила 68,6 %. </w:t>
      </w:r>
    </w:p>
    <w:p w14:paraId="2A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В аналогичном периоде 2022 года исполнение по безвозмездным поступлениям составило 32,6 млрд рублей или 47,8 % от годовых плановых назначений. Их доля в общем объеме п</w:t>
      </w:r>
      <w:r>
        <w:rPr>
          <w:sz w:val="28"/>
        </w:rPr>
        <w:t xml:space="preserve">оступлений составила 69,5 %. </w:t>
      </w:r>
    </w:p>
    <w:p w14:paraId="2B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В структуре безвозмездных поступлений за 1 полугодие 2023 года безвозмездные поступления от других бюджетов бюджетной системы Российской Федерации составили 31,7 млрд рублей, безвозмездные поступления от государственных (муниц</w:t>
      </w:r>
      <w:r>
        <w:rPr>
          <w:sz w:val="28"/>
        </w:rPr>
        <w:t>ипальных) организаций – 1,1 млрд рублей, прочие безвозмездные поступления (безвозмездные поступления от ПАО «</w:t>
      </w:r>
      <w:r>
        <w:rPr>
          <w:sz w:val="28"/>
        </w:rPr>
        <w:t>РусГидро</w:t>
      </w:r>
      <w:r>
        <w:rPr>
          <w:sz w:val="28"/>
        </w:rPr>
        <w:t xml:space="preserve">» на </w:t>
      </w:r>
      <w:r>
        <w:rPr>
          <w:sz w:val="28"/>
        </w:rPr>
        <w:t xml:space="preserve">возмещение недополученных доходов </w:t>
      </w:r>
      <w:r>
        <w:rPr>
          <w:sz w:val="28"/>
        </w:rPr>
        <w:t>энергоснабжающим</w:t>
      </w:r>
      <w:r>
        <w:rPr>
          <w:sz w:val="28"/>
        </w:rPr>
        <w:t xml:space="preserve"> организациям) – 4,3 млрд рублей, доходы от возврата остатков прошлых лет – 246,2 мл</w:t>
      </w:r>
      <w:r>
        <w:rPr>
          <w:sz w:val="28"/>
        </w:rPr>
        <w:t>н рублей.</w:t>
      </w:r>
    </w:p>
    <w:p w14:paraId="2C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Структурно исполнение по безвозмездным поступлениям от других бюджетов бюджетной системы Российской Федерации за 1 полугодие 2023 года выглядит следующим образом:</w:t>
      </w:r>
    </w:p>
    <w:p w14:paraId="2D000000">
      <w:pPr>
        <w:numPr>
          <w:ilvl w:val="0"/>
          <w:numId w:val="2"/>
        </w:numPr>
        <w:tabs>
          <w:tab w:leader="none" w:pos="1069" w:val="left"/>
          <w:tab w:leader="none" w:pos="1070" w:val="clear"/>
        </w:tabs>
        <w:spacing w:line="312" w:lineRule="auto"/>
        <w:ind w:firstLine="709" w:left="0"/>
        <w:jc w:val="both"/>
        <w:rPr>
          <w:sz w:val="28"/>
        </w:rPr>
      </w:pPr>
      <w:r>
        <w:rPr>
          <w:i w:val="1"/>
          <w:sz w:val="28"/>
        </w:rPr>
        <w:t>дотации</w:t>
      </w:r>
      <w:r>
        <w:rPr>
          <w:sz w:val="28"/>
        </w:rPr>
        <w:t xml:space="preserve"> бюджетам субъектов Российской Федерации – 24,9 млрд рублей или 54,7 % от го</w:t>
      </w:r>
      <w:r>
        <w:rPr>
          <w:sz w:val="28"/>
        </w:rPr>
        <w:t xml:space="preserve">довых плановых назначений (1 полугодие 2022 года – </w:t>
      </w:r>
      <w:r>
        <w:rPr>
          <w:sz w:val="28"/>
        </w:rPr>
        <w:br/>
      </w:r>
      <w:r>
        <w:rPr>
          <w:sz w:val="28"/>
        </w:rPr>
        <w:t xml:space="preserve">22,8 млрд рублей или 50,5 % от годовых плановых назначений). </w:t>
      </w:r>
    </w:p>
    <w:p w14:paraId="2E000000">
      <w:pPr>
        <w:numPr>
          <w:ilvl w:val="0"/>
          <w:numId w:val="2"/>
        </w:numPr>
        <w:tabs>
          <w:tab w:leader="none" w:pos="1070" w:val="clear"/>
        </w:tabs>
        <w:spacing w:line="312" w:lineRule="auto"/>
        <w:ind w:firstLine="709" w:left="0"/>
        <w:jc w:val="both"/>
        <w:rPr>
          <w:sz w:val="28"/>
        </w:rPr>
      </w:pPr>
      <w:r>
        <w:rPr>
          <w:i w:val="1"/>
          <w:sz w:val="28"/>
        </w:rPr>
        <w:t>субсидии</w:t>
      </w:r>
      <w:r>
        <w:rPr>
          <w:sz w:val="28"/>
        </w:rPr>
        <w:t xml:space="preserve"> – 4,9 млрд рублей или 37,9 % от утвержденных годовых плановых назначений (1 полугодие 2022 года – 3,5 млрд рублей или 41,3</w:t>
      </w:r>
      <w:r>
        <w:rPr>
          <w:sz w:val="28"/>
        </w:rPr>
        <w:t xml:space="preserve"> % от утвержденных годовых плановых назначений);</w:t>
      </w:r>
    </w:p>
    <w:p w14:paraId="2F000000">
      <w:pPr>
        <w:numPr>
          <w:ilvl w:val="0"/>
          <w:numId w:val="2"/>
        </w:numPr>
        <w:tabs>
          <w:tab w:leader="none" w:pos="1070" w:val="clear"/>
        </w:tabs>
        <w:spacing w:line="312" w:lineRule="auto"/>
        <w:ind w:firstLine="709" w:left="0"/>
        <w:jc w:val="both"/>
        <w:rPr>
          <w:sz w:val="28"/>
        </w:rPr>
      </w:pPr>
      <w:r>
        <w:rPr>
          <w:i w:val="1"/>
          <w:sz w:val="28"/>
        </w:rPr>
        <w:t>субвенции</w:t>
      </w:r>
      <w:r>
        <w:rPr>
          <w:sz w:val="28"/>
        </w:rPr>
        <w:t xml:space="preserve"> – 617,0 млн рублей или 66,1 % от утвержденных годовых плановых назначений (1 полугодие 2022 года – 851,3 млн рублей или 53,8 % от утвержденных годовых плановых назначений);</w:t>
      </w:r>
    </w:p>
    <w:p w14:paraId="30000000">
      <w:pPr>
        <w:numPr>
          <w:ilvl w:val="0"/>
          <w:numId w:val="2"/>
        </w:numPr>
        <w:tabs>
          <w:tab w:leader="none" w:pos="710" w:val="left"/>
          <w:tab w:leader="none" w:pos="1070" w:val="clear"/>
        </w:tabs>
        <w:spacing w:line="312" w:lineRule="auto"/>
        <w:ind w:firstLine="709" w:left="0"/>
        <w:jc w:val="both"/>
        <w:rPr>
          <w:b w:val="1"/>
          <w:sz w:val="28"/>
        </w:rPr>
      </w:pPr>
      <w:r>
        <w:rPr>
          <w:i w:val="1"/>
          <w:sz w:val="28"/>
        </w:rPr>
        <w:t>иные межбюджетные трансф</w:t>
      </w:r>
      <w:r>
        <w:rPr>
          <w:i w:val="1"/>
          <w:sz w:val="28"/>
        </w:rPr>
        <w:t>ерты</w:t>
      </w:r>
      <w:r>
        <w:rPr>
          <w:sz w:val="28"/>
        </w:rPr>
        <w:t xml:space="preserve"> – 1,3 млрд рублей или 32,7 % от утвержденных годовых плановых назначений (1 полугодие 2022 года – </w:t>
      </w:r>
      <w:r>
        <w:rPr>
          <w:sz w:val="28"/>
        </w:rPr>
        <w:br/>
      </w:r>
      <w:r>
        <w:rPr>
          <w:sz w:val="28"/>
        </w:rPr>
        <w:t>893,4 млн рублей или 30,8 % от утвержденных годовых плановых назначений).</w:t>
      </w:r>
    </w:p>
    <w:p w14:paraId="31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В общем объеме безвозмездных поступлений от государственных (муниципальных) ор</w:t>
      </w:r>
      <w:r>
        <w:rPr>
          <w:sz w:val="28"/>
        </w:rPr>
        <w:t>ганизаций за 1 полугодие 2023 года (1 157,5 млн рублей), привлеченных в краевой бюджет исполнительными органами Камчатского края:</w:t>
      </w:r>
    </w:p>
    <w:p w14:paraId="32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- безвозмездные поступления от публично-правовой компании «Фонд развития территорий» на обеспечение мероприятий по переселению</w:t>
      </w:r>
      <w:r>
        <w:rPr>
          <w:sz w:val="28"/>
        </w:rPr>
        <w:t xml:space="preserve">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(главный администратор поступлений – Министерство строительства и жилищной политики К</w:t>
      </w:r>
      <w:r>
        <w:rPr>
          <w:sz w:val="28"/>
        </w:rPr>
        <w:t>амчатского края) составили 1 100,5 млн рублей;</w:t>
      </w:r>
    </w:p>
    <w:p w14:paraId="33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- безвозмездные поступления от публично-правовой компании «Фонд развития территорий» на обеспечение мероприятий по модернизации систем коммунальной инфраструктуры (главный администратор поступлений – Министерс</w:t>
      </w:r>
      <w:r>
        <w:rPr>
          <w:sz w:val="28"/>
        </w:rPr>
        <w:t>тво жилищно-коммунального хозяйства и энергетики Камчатского края) составили 43,2 млн рублей;</w:t>
      </w:r>
    </w:p>
    <w:p w14:paraId="34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- безвозмездные поступления от публично-правовой компании «Фонд развития территорий» на социальные выплаты на приобретение жилых помещений на основании выдаваемых</w:t>
      </w:r>
      <w:r>
        <w:rPr>
          <w:sz w:val="28"/>
        </w:rPr>
        <w:t xml:space="preserve"> государственных жилищных сертификатов жителям города Херсона и части Херсонской области, вынужденно покинувшим место постоянного </w:t>
      </w:r>
      <w:r>
        <w:rPr>
          <w:sz w:val="28"/>
        </w:rPr>
        <w:t>проживания и прибывшим в экстренном массовом порядке на иные территории на постоянное место жительства и единовременные выплат</w:t>
      </w:r>
      <w:r>
        <w:rPr>
          <w:sz w:val="28"/>
        </w:rPr>
        <w:t>ы на обзаведение имуществом жителям города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 (главный администратор поступлений</w:t>
      </w:r>
      <w:r>
        <w:rPr>
          <w:sz w:val="28"/>
        </w:rPr>
        <w:t xml:space="preserve"> – Министерство социального благополучия и семейной политики Камчатского края) составили 13,8 млн рублей.</w:t>
      </w:r>
    </w:p>
    <w:p w14:paraId="35000000">
      <w:pPr>
        <w:spacing w:line="312" w:lineRule="auto"/>
        <w:ind/>
        <w:jc w:val="right"/>
        <w:rPr>
          <w:b w:val="1"/>
          <w:sz w:val="32"/>
        </w:rPr>
      </w:pPr>
    </w:p>
    <w:p w14:paraId="36000000">
      <w:pPr>
        <w:spacing w:before="5" w:line="312" w:lineRule="auto"/>
        <w:ind w:right="43"/>
        <w:jc w:val="center"/>
        <w:rPr>
          <w:b w:val="1"/>
          <w:sz w:val="28"/>
        </w:rPr>
      </w:pPr>
      <w:r>
        <w:rPr>
          <w:b w:val="1"/>
          <w:sz w:val="28"/>
        </w:rPr>
        <w:t>Расходы краевого бюджета</w:t>
      </w:r>
    </w:p>
    <w:p w14:paraId="37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 xml:space="preserve">Расходы краевого бюджета за 1 полугодие 2023 года исполнены в сумме </w:t>
      </w:r>
      <w:r>
        <w:rPr>
          <w:sz w:val="28"/>
        </w:rPr>
        <w:br/>
      </w:r>
      <w:r>
        <w:rPr>
          <w:sz w:val="28"/>
        </w:rPr>
        <w:t>55,6 млрд рублей или 46,8 % от утвержденных годо</w:t>
      </w:r>
      <w:r>
        <w:rPr>
          <w:sz w:val="28"/>
        </w:rPr>
        <w:t>вых ассигнований.</w:t>
      </w:r>
    </w:p>
    <w:p w14:paraId="38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Основную долю в общем объеме расходов по исполнению краевого бюджета за 1 полугодие 2023 года составили:</w:t>
      </w:r>
    </w:p>
    <w:p w14:paraId="39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р. 04 «Национальная экономика» – 27,4 % в общем объеме расходов;</w:t>
      </w:r>
    </w:p>
    <w:p w14:paraId="3A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 xml:space="preserve">р. 07 «Образование» – 19,4 % в общем объеме расходов; </w:t>
      </w:r>
    </w:p>
    <w:p w14:paraId="3B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р. 10 «Социал</w:t>
      </w:r>
      <w:r>
        <w:rPr>
          <w:sz w:val="28"/>
        </w:rPr>
        <w:t xml:space="preserve">ьная политика» – 15,9 % в общем объеме расходов; </w:t>
      </w:r>
    </w:p>
    <w:p w14:paraId="3C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 xml:space="preserve">р. 05 «Жилищно-коммунальное хозяйство» – 14,1 % в общем объеме расходов; </w:t>
      </w:r>
    </w:p>
    <w:p w14:paraId="3D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р. 14 «Межбюджетные трансферты общего характера бюджетам бюджетной системы Российской Федерации» – 7,1 % в общем объеме расходов;</w:t>
      </w:r>
    </w:p>
    <w:p w14:paraId="3E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р.</w:t>
      </w:r>
      <w:r>
        <w:rPr>
          <w:sz w:val="28"/>
        </w:rPr>
        <w:t xml:space="preserve"> 09 «Здравоохранение» – 6,9 % в общем объеме расходов. </w:t>
      </w:r>
    </w:p>
    <w:p w14:paraId="3F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Просроченная кредиторская задолженность по расходам краевого бюджета по состоянию на 1 июля 2023 года отсутствует.</w:t>
      </w:r>
    </w:p>
    <w:p w14:paraId="40000000">
      <w:pPr>
        <w:spacing w:line="312" w:lineRule="auto"/>
        <w:ind w:firstLine="709" w:left="0" w:right="58"/>
        <w:jc w:val="right"/>
        <w:rPr>
          <w:b w:val="1"/>
          <w:sz w:val="32"/>
        </w:rPr>
      </w:pPr>
    </w:p>
    <w:p w14:paraId="41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 xml:space="preserve">Исполнение кассового плана по расходам краевого бюджета за </w:t>
      </w:r>
      <w:r>
        <w:rPr>
          <w:sz w:val="28"/>
        </w:rPr>
        <w:br/>
      </w:r>
      <w:r>
        <w:rPr>
          <w:sz w:val="28"/>
        </w:rPr>
        <w:t>1 полугодие 2023</w:t>
      </w:r>
      <w:r>
        <w:rPr>
          <w:sz w:val="28"/>
        </w:rPr>
        <w:t xml:space="preserve"> года составило 99,2 %, в том числе по разделам классификации расходов бюджетов:</w:t>
      </w:r>
    </w:p>
    <w:p w14:paraId="42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р. 01 «Общегосударственные вопросы» – 88,8 %;</w:t>
      </w:r>
    </w:p>
    <w:p w14:paraId="43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р. 02 «Национальная оборона» – 98,5 %;</w:t>
      </w:r>
    </w:p>
    <w:p w14:paraId="44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р. 03 «Национальная безопасность и правоохранительная деятельность» – </w:t>
      </w:r>
      <w:r>
        <w:rPr>
          <w:sz w:val="28"/>
        </w:rPr>
        <w:br/>
      </w:r>
      <w:r>
        <w:rPr>
          <w:sz w:val="28"/>
        </w:rPr>
        <w:t>99,6 %;</w:t>
      </w:r>
    </w:p>
    <w:p w14:paraId="45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р. 04 «Наци</w:t>
      </w:r>
      <w:r>
        <w:rPr>
          <w:sz w:val="28"/>
        </w:rPr>
        <w:t>ональная экономика» – 99,8 %;</w:t>
      </w:r>
    </w:p>
    <w:p w14:paraId="46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р. 05 «Жилищно-коммунальное хозяйство» – 99,8 %;</w:t>
      </w:r>
    </w:p>
    <w:p w14:paraId="47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р. 06 «Охрана окружающей среды» – 99,9 %;</w:t>
      </w:r>
    </w:p>
    <w:p w14:paraId="48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р. 07 «Образование» – 99,7 %;</w:t>
      </w:r>
    </w:p>
    <w:p w14:paraId="49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р. 08 «Культура, кинематография» – 99,1 %;</w:t>
      </w:r>
    </w:p>
    <w:p w14:paraId="4A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р. 09 «Здравоохранение» – 99,8 %;</w:t>
      </w:r>
    </w:p>
    <w:p w14:paraId="4B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 xml:space="preserve">р. 10 «Социальная политика» </w:t>
      </w:r>
      <w:r>
        <w:rPr>
          <w:sz w:val="28"/>
        </w:rPr>
        <w:t>– 99,0 %;</w:t>
      </w:r>
    </w:p>
    <w:p w14:paraId="4C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р. 11 «Физическая культура и спорт» – 99,9 %;</w:t>
      </w:r>
    </w:p>
    <w:p w14:paraId="4D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р. 12 «Средства массовой информации» – 100,0 %;</w:t>
      </w:r>
    </w:p>
    <w:p w14:paraId="4E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р. 13 «Обслуживание государственного и муниципального долга» – 100,0 %;</w:t>
      </w:r>
    </w:p>
    <w:p w14:paraId="4F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р. 14 «Межбюджетные трансферты общего характера бюджетам бюджетной системы Росси</w:t>
      </w:r>
      <w:r>
        <w:rPr>
          <w:sz w:val="28"/>
        </w:rPr>
        <w:t>йской Федерации» – 100,0 %.</w:t>
      </w:r>
    </w:p>
    <w:p w14:paraId="50000000">
      <w:pPr>
        <w:spacing w:line="312" w:lineRule="auto"/>
        <w:ind w:firstLine="709" w:left="0" w:right="58"/>
        <w:jc w:val="both"/>
        <w:rPr>
          <w:sz w:val="28"/>
          <w:highlight w:val="yellow"/>
        </w:rPr>
      </w:pPr>
    </w:p>
    <w:p w14:paraId="51000000">
      <w:pPr>
        <w:tabs>
          <w:tab w:leader="none" w:pos="1541" w:val="left"/>
        </w:tabs>
        <w:spacing w:line="312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Исполнение расходов в области национальной экономики </w:t>
      </w:r>
    </w:p>
    <w:p w14:paraId="52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Исполнение по разделу «Национальная экономика» за 1 полугодие 2023 года составило 15,3 млрд рублей или 50,5 % от утвержденных годовых ассигнований. </w:t>
      </w:r>
    </w:p>
    <w:p w14:paraId="53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Исполнение за </w:t>
      </w:r>
      <w:r>
        <w:rPr>
          <w:sz w:val="28"/>
        </w:rPr>
        <w:t>аналогичный период 2022 года составило 12,1 млрд рублей или 40,9 % от утвержденных годовых ассигнований.</w:t>
      </w:r>
    </w:p>
    <w:p w14:paraId="54000000">
      <w:pPr>
        <w:spacing w:line="312" w:lineRule="auto"/>
        <w:ind w:firstLine="709" w:left="0" w:right="58"/>
        <w:jc w:val="both"/>
        <w:rPr>
          <w:sz w:val="28"/>
        </w:rPr>
      </w:pPr>
      <w:r>
        <w:rPr>
          <w:sz w:val="28"/>
        </w:rPr>
        <w:t>Основную долю в расходах краевого бюджета по разделу «Национальная экономика» за 1 полугодие 2023 года составили:</w:t>
      </w:r>
    </w:p>
    <w:p w14:paraId="55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–</w:t>
      </w:r>
      <w:r>
        <w:rPr>
          <w:sz w:val="28"/>
        </w:rPr>
        <w:t xml:space="preserve"> расходы по подразделу «Топливно-энергетический комплекс» – </w:t>
      </w:r>
      <w:r>
        <w:rPr>
          <w:sz w:val="28"/>
        </w:rPr>
        <w:br/>
      </w:r>
      <w:r>
        <w:rPr>
          <w:sz w:val="28"/>
        </w:rPr>
        <w:t>8,4 млрд рублей или 55,9 % от утвержденных годовых ассигнований;</w:t>
      </w:r>
    </w:p>
    <w:p w14:paraId="56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– расходы по подразделу «Дорожное хозяйство (дорожные фонды)» – </w:t>
      </w:r>
      <w:r>
        <w:rPr>
          <w:sz w:val="28"/>
        </w:rPr>
        <w:br/>
      </w:r>
      <w:r>
        <w:rPr>
          <w:sz w:val="28"/>
        </w:rPr>
        <w:t xml:space="preserve">2,9 млрд рублей или 40,6 % от утвержденных годовых ассигнований; </w:t>
      </w:r>
    </w:p>
    <w:p w14:paraId="57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– расходы по подразделу «Сельское хозяйство и рыболовство» – </w:t>
      </w:r>
      <w:r>
        <w:rPr>
          <w:sz w:val="28"/>
        </w:rPr>
        <w:br/>
      </w:r>
      <w:r>
        <w:rPr>
          <w:sz w:val="28"/>
        </w:rPr>
        <w:t>1,2 млрд рублей или 58,3 % от утвержденных годовых ассигнований;</w:t>
      </w:r>
    </w:p>
    <w:p w14:paraId="58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– расходы по подразделу «Транспорт» – 1,1 млрд рублей или 44,7 % от утвержденных годовых ассигнований.</w:t>
      </w:r>
    </w:p>
    <w:p w14:paraId="59000000">
      <w:pPr>
        <w:tabs>
          <w:tab w:leader="none" w:pos="1541" w:val="left"/>
        </w:tabs>
        <w:spacing w:line="288" w:lineRule="auto"/>
        <w:ind w:firstLine="709" w:left="0"/>
        <w:jc w:val="both"/>
        <w:rPr>
          <w:sz w:val="28"/>
          <w:highlight w:val="yellow"/>
        </w:rPr>
      </w:pPr>
      <w:r>
        <w:rPr>
          <w:sz w:val="28"/>
        </w:rPr>
        <w:t>Государственная поддержка</w:t>
      </w:r>
      <w:r>
        <w:rPr>
          <w:sz w:val="28"/>
        </w:rPr>
        <w:t xml:space="preserve"> </w:t>
      </w:r>
      <w:r>
        <w:rPr>
          <w:sz w:val="28"/>
        </w:rPr>
        <w:t>энергоснабжающим</w:t>
      </w:r>
      <w:r>
        <w:rPr>
          <w:sz w:val="28"/>
        </w:rPr>
        <w:t xml:space="preserve"> организациям Камчатского края в связи с оказанием услуг по отпуску электрической энергии населению и приравненным к нему категориям потребителей по льготным тарифам, за </w:t>
      </w:r>
      <w:r>
        <w:rPr>
          <w:sz w:val="28"/>
        </w:rPr>
        <w:br/>
      </w:r>
      <w:r>
        <w:rPr>
          <w:sz w:val="28"/>
        </w:rPr>
        <w:t>1 полугодие 2023 года составила 3,8 млрд рублей или 78,8 % от утверж</w:t>
      </w:r>
      <w:r>
        <w:rPr>
          <w:sz w:val="28"/>
        </w:rPr>
        <w:t>денных годовых ассигнований (за 1 полугодие 2022 года – 2,2 млрд рублей или 79,5 % от утвержденных годовых ассигнований).</w:t>
      </w:r>
    </w:p>
    <w:p w14:paraId="5A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Государственная поддержка предприятиям, в связи с оказанием услуг по отпуску природного газа отдельным потребителям Камчатского края п</w:t>
      </w:r>
      <w:r>
        <w:rPr>
          <w:sz w:val="28"/>
        </w:rPr>
        <w:t xml:space="preserve">о ценам, установленным ниже экономически обоснованного уровня составила за 1 полугодие 2023 года 56,0 млн рублей или 65,2 % от утвержденных годовых ассигнований (за </w:t>
      </w:r>
      <w:r>
        <w:rPr>
          <w:sz w:val="28"/>
        </w:rPr>
        <w:br/>
      </w:r>
      <w:r>
        <w:rPr>
          <w:sz w:val="28"/>
        </w:rPr>
        <w:t>1 полугодие 2022 года – 61,1 млн рублей или 58,6 % от утвержденных годовых ассигнований).</w:t>
      </w:r>
    </w:p>
    <w:p w14:paraId="5B000000">
      <w:pPr>
        <w:pStyle w:val="Style_3"/>
        <w:spacing w:before="0" w:line="312" w:lineRule="auto"/>
        <w:ind w:firstLine="709" w:left="0"/>
        <w:outlineLvl w:val="3"/>
        <w:rPr>
          <w:sz w:val="28"/>
        </w:rPr>
      </w:pPr>
      <w:r>
        <w:rPr>
          <w:sz w:val="28"/>
        </w:rPr>
        <w:t xml:space="preserve">В соответствии с Постановлением Правительства Российской Федерации от 28.07.2017 № 895 за 1 полугодие 2023 года на возмещение </w:t>
      </w:r>
      <w:r>
        <w:rPr>
          <w:sz w:val="28"/>
        </w:rPr>
        <w:t>энергоснабжающим</w:t>
      </w:r>
      <w:r>
        <w:rPr>
          <w:sz w:val="28"/>
        </w:rPr>
        <w:t xml:space="preserve"> организациям недополученных доходов в связи с доведением цен (тарифов) на электрическую энергию (мощность) до пла</w:t>
      </w:r>
      <w:r>
        <w:rPr>
          <w:sz w:val="28"/>
        </w:rPr>
        <w:t>нируемых на следующий период регулирования базовых уровней цен (тарифов) на электрическую энергию (мощность), за счет средств безвозмездных целевых взносов ПАО «</w:t>
      </w:r>
      <w:r>
        <w:rPr>
          <w:sz w:val="28"/>
        </w:rPr>
        <w:t>РусГидро</w:t>
      </w:r>
      <w:r>
        <w:rPr>
          <w:sz w:val="28"/>
        </w:rPr>
        <w:t xml:space="preserve">» направлено 4,5 млрд рублей или 44,9 % от утвержденных ассигнований (за </w:t>
      </w:r>
      <w:r>
        <w:rPr>
          <w:sz w:val="28"/>
        </w:rPr>
        <w:br/>
      </w:r>
      <w:r>
        <w:rPr>
          <w:sz w:val="28"/>
        </w:rPr>
        <w:t>аналогичный п</w:t>
      </w:r>
      <w:r>
        <w:rPr>
          <w:sz w:val="28"/>
        </w:rPr>
        <w:t>ериод 2022 года – 4,1 млрд рублей или 43,4 % от утвержденных ассигнований).</w:t>
      </w:r>
    </w:p>
    <w:p w14:paraId="5C000000">
      <w:pPr>
        <w:tabs>
          <w:tab w:leader="none" w:pos="1541" w:val="left"/>
        </w:tabs>
        <w:spacing w:line="312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Исполнение расходов на жилищно-коммунального хозяйство</w:t>
      </w:r>
    </w:p>
    <w:p w14:paraId="5D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Исполнение по разделу «Жилищно-коммунальное хозяйство» за </w:t>
      </w:r>
      <w:r>
        <w:rPr>
          <w:sz w:val="28"/>
        </w:rPr>
        <w:br/>
      </w:r>
      <w:r>
        <w:rPr>
          <w:sz w:val="28"/>
        </w:rPr>
        <w:t>1 полугодие 2023 год составило 7,8 млрд рублей или 44,1 % от утвер</w:t>
      </w:r>
      <w:r>
        <w:rPr>
          <w:sz w:val="28"/>
        </w:rPr>
        <w:t xml:space="preserve">жденных годовых ассигнований. </w:t>
      </w:r>
    </w:p>
    <w:p w14:paraId="5E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Исполнение за аналогичный период 2022 года составило 9,6 млрд рублей или 59,5 % от утвержденных годовых ассигнований.</w:t>
      </w:r>
    </w:p>
    <w:p w14:paraId="5F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Расходы краевого бюджета по предоставлению субсидий предприятиям коммунального комплекса в целях возмещения</w:t>
      </w:r>
      <w:r>
        <w:rPr>
          <w:sz w:val="28"/>
        </w:rPr>
        <w:t xml:space="preserve"> недополученных доходов в связи с оказанием потребителям коммунальных услуг по льготным тарифам за 1 полугодие 2023 года составили 4,8 млрд рублей или 53,9 % от запланированных годовых ассигнований (за 1 полугодие 2022 года – 6,8 млрд рублей или 75,1 % от </w:t>
      </w:r>
      <w:r>
        <w:rPr>
          <w:sz w:val="28"/>
        </w:rPr>
        <w:t>запланированных годовых ассигнований).</w:t>
      </w:r>
    </w:p>
    <w:p w14:paraId="60000000">
      <w:pPr>
        <w:tabs>
          <w:tab w:leader="none" w:pos="1541" w:val="left"/>
        </w:tabs>
        <w:spacing w:line="312" w:lineRule="auto"/>
        <w:ind w:firstLine="709" w:left="0"/>
        <w:jc w:val="right"/>
        <w:rPr>
          <w:b w:val="1"/>
          <w:sz w:val="32"/>
        </w:rPr>
      </w:pPr>
    </w:p>
    <w:p w14:paraId="61000000">
      <w:pPr>
        <w:tabs>
          <w:tab w:leader="none" w:pos="7513" w:val="left"/>
        </w:tabs>
        <w:spacing w:line="312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Исполнение социально-значимых расходов</w:t>
      </w:r>
    </w:p>
    <w:p w14:paraId="62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 w:val="1"/>
          <w:sz w:val="28"/>
        </w:rPr>
        <w:t>«Образование»</w:t>
      </w:r>
      <w:r>
        <w:rPr>
          <w:sz w:val="28"/>
        </w:rPr>
        <w:t xml:space="preserve"> за 1 полугодие 2023 года составило </w:t>
      </w:r>
      <w:r>
        <w:rPr>
          <w:sz w:val="28"/>
        </w:rPr>
        <w:br/>
      </w:r>
      <w:r>
        <w:rPr>
          <w:sz w:val="28"/>
        </w:rPr>
        <w:t>10,8 млрд рублей или 56,5 % от утвержденных годовых ассигнований (для сравнения исполнение за 1 по</w:t>
      </w:r>
      <w:r>
        <w:rPr>
          <w:sz w:val="28"/>
        </w:rPr>
        <w:t xml:space="preserve">лугодие 2022 года составило 9,6 млрд рублей или </w:t>
      </w:r>
      <w:r>
        <w:rPr>
          <w:sz w:val="28"/>
        </w:rPr>
        <w:br/>
      </w:r>
      <w:r>
        <w:rPr>
          <w:sz w:val="28"/>
        </w:rPr>
        <w:t>55,7 % от утвержденных годовых ассигнований).</w:t>
      </w:r>
    </w:p>
    <w:p w14:paraId="63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 w:val="1"/>
          <w:sz w:val="28"/>
        </w:rPr>
        <w:t>«Культура, кинематография»</w:t>
      </w:r>
      <w:r>
        <w:rPr>
          <w:sz w:val="28"/>
        </w:rPr>
        <w:t xml:space="preserve"> составило </w:t>
      </w:r>
      <w:r>
        <w:rPr>
          <w:sz w:val="28"/>
        </w:rPr>
        <w:br/>
      </w:r>
      <w:r>
        <w:rPr>
          <w:sz w:val="28"/>
        </w:rPr>
        <w:t xml:space="preserve">0,9 млрд рублей или 54,9 % от утвержденных годовых ассигнований (за 1 полугодие 2022 года – 0,9 млрд </w:t>
      </w:r>
      <w:r>
        <w:rPr>
          <w:sz w:val="28"/>
        </w:rPr>
        <w:t>рублей или 60,3 % от утвержденных годовых ассигнований).</w:t>
      </w:r>
    </w:p>
    <w:p w14:paraId="64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 w:val="1"/>
          <w:sz w:val="28"/>
        </w:rPr>
        <w:t>«Здравоохранение»</w:t>
      </w:r>
      <w:r>
        <w:rPr>
          <w:sz w:val="28"/>
        </w:rPr>
        <w:t xml:space="preserve"> составило 3,8 млрд рублей или 29,5 % от утвержденных годовых ассигнований (за 1 полугодие 2022 года – </w:t>
      </w:r>
      <w:r>
        <w:rPr>
          <w:sz w:val="28"/>
        </w:rPr>
        <w:br/>
      </w:r>
      <w:r>
        <w:rPr>
          <w:sz w:val="28"/>
        </w:rPr>
        <w:t>2,8 млрд рублей или 33,0 % от утвержденных годовых ассиг</w:t>
      </w:r>
      <w:r>
        <w:rPr>
          <w:sz w:val="28"/>
        </w:rPr>
        <w:t>нований).</w:t>
      </w:r>
    </w:p>
    <w:p w14:paraId="65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 w:val="1"/>
          <w:sz w:val="28"/>
        </w:rPr>
        <w:t>«Социальная политика»</w:t>
      </w:r>
      <w:r>
        <w:rPr>
          <w:sz w:val="28"/>
        </w:rPr>
        <w:t xml:space="preserve"> за отчетный период составило 8,8 млрд рублей или 52,2 % от утвержденных годовых ассигнований (за 1 полугодие 2022 года – 8,0 млрд рублей или 48,6 % от утвержденных годовых ассигнований).</w:t>
      </w:r>
    </w:p>
    <w:p w14:paraId="66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Меры социальной</w:t>
      </w:r>
      <w:r>
        <w:rPr>
          <w:sz w:val="28"/>
        </w:rPr>
        <w:t xml:space="preserve"> поддержки с учетом заявительного характера предоставляются в установленные сроки в необходимых объемах. Кредиторская задолженность по данным обязательствам отсутствует.</w:t>
      </w:r>
    </w:p>
    <w:p w14:paraId="67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Расходы краевого бюджета за 1 полугодие 2023 года на предоставление мер социальной под</w:t>
      </w:r>
      <w:r>
        <w:rPr>
          <w:sz w:val="28"/>
        </w:rPr>
        <w:t>держки населения составили 5,9 млрд рублей или 55,1 % от годовых бюджетных ассигнований (за 1 полугодие 2022 года – 5,4 млрд рублей или 49,1 % от годовых бюджетных ассигнований).</w:t>
      </w:r>
    </w:p>
    <w:p w14:paraId="68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 w:val="1"/>
          <w:sz w:val="28"/>
        </w:rPr>
        <w:t>«Физическая культура и спорт»</w:t>
      </w:r>
      <w:r>
        <w:rPr>
          <w:sz w:val="28"/>
        </w:rPr>
        <w:t xml:space="preserve"> за 1 полугодие 2023 года </w:t>
      </w:r>
      <w:r>
        <w:rPr>
          <w:sz w:val="28"/>
        </w:rPr>
        <w:t>составило 0,9 млрд рублей или 51,7 % от утвержденных годовых ассигнований (за 1 полугодие 2022 года – 0,8 млрд рублей или 43,3 % от утвержденных годовых ассигнований).</w:t>
      </w:r>
    </w:p>
    <w:p w14:paraId="69000000">
      <w:pPr>
        <w:tabs>
          <w:tab w:leader="none" w:pos="1541" w:val="left"/>
        </w:tabs>
        <w:spacing w:line="312" w:lineRule="auto"/>
        <w:ind w:firstLine="709" w:left="0"/>
        <w:jc w:val="both"/>
        <w:rPr>
          <w:sz w:val="28"/>
        </w:rPr>
      </w:pPr>
    </w:p>
    <w:p w14:paraId="6A000000">
      <w:pPr>
        <w:spacing w:line="312" w:lineRule="auto"/>
        <w:ind w:right="43"/>
        <w:jc w:val="center"/>
        <w:rPr>
          <w:b w:val="1"/>
          <w:sz w:val="28"/>
        </w:rPr>
      </w:pPr>
      <w:r>
        <w:rPr>
          <w:b w:val="1"/>
          <w:sz w:val="28"/>
        </w:rPr>
        <w:t>Исполнение региональных проектов</w:t>
      </w:r>
    </w:p>
    <w:p w14:paraId="6B000000">
      <w:pPr>
        <w:spacing w:line="312" w:lineRule="auto"/>
        <w:ind w:firstLine="708" w:left="0"/>
        <w:jc w:val="both"/>
        <w:rPr>
          <w:sz w:val="28"/>
        </w:rPr>
      </w:pPr>
      <w:r>
        <w:rPr>
          <w:sz w:val="28"/>
        </w:rPr>
        <w:t>В Камчатском крае в 2023 году в рамках 12 национальных</w:t>
      </w:r>
      <w:r>
        <w:rPr>
          <w:sz w:val="28"/>
        </w:rPr>
        <w:t xml:space="preserve"> проектов реализовывается 46 региональных проектов.</w:t>
      </w:r>
    </w:p>
    <w:p w14:paraId="6C000000">
      <w:pPr>
        <w:spacing w:line="312" w:lineRule="auto"/>
        <w:ind w:firstLine="708" w:left="0"/>
        <w:jc w:val="both"/>
        <w:rPr>
          <w:sz w:val="28"/>
        </w:rPr>
      </w:pPr>
      <w:r>
        <w:rPr>
          <w:sz w:val="28"/>
        </w:rPr>
        <w:t xml:space="preserve">Законом Камчатского края от 26.11.2022 № 155 «О краевом бюджете на 2023 год и на плановый период 2024 и 2025 годов» предусмотрены средства в объеме </w:t>
      </w:r>
      <w:r>
        <w:rPr>
          <w:sz w:val="28"/>
        </w:rPr>
        <w:br/>
      </w:r>
      <w:r>
        <w:rPr>
          <w:sz w:val="28"/>
        </w:rPr>
        <w:t xml:space="preserve">11,4 млрд рублей, в том числе за счет средств краевого </w:t>
      </w:r>
      <w:r>
        <w:rPr>
          <w:sz w:val="28"/>
        </w:rPr>
        <w:t xml:space="preserve">бюджета </w:t>
      </w:r>
      <w:r>
        <w:rPr>
          <w:sz w:val="28"/>
        </w:rPr>
        <w:br/>
      </w:r>
      <w:r>
        <w:rPr>
          <w:sz w:val="28"/>
        </w:rPr>
        <w:t xml:space="preserve">4,4 млрд рублей.   </w:t>
      </w:r>
    </w:p>
    <w:p w14:paraId="6D000000">
      <w:pPr>
        <w:spacing w:line="312" w:lineRule="auto"/>
        <w:ind w:firstLine="708" w:left="0"/>
        <w:jc w:val="both"/>
        <w:rPr>
          <w:sz w:val="28"/>
        </w:rPr>
      </w:pPr>
      <w:r>
        <w:rPr>
          <w:sz w:val="28"/>
        </w:rPr>
        <w:t>Исполнение за 1 полугодие 2023 года составило 4,1 млрд рублей или 36,3 % от утвержденных бюджетных ассигнований, в том числе за счет средств краевого бюджета 1,5 млрд рублей или 34,1 % от утвержденных ассигнований (для сравнени</w:t>
      </w:r>
      <w:r>
        <w:rPr>
          <w:sz w:val="28"/>
        </w:rPr>
        <w:t>я исполнение за 1 полугодие 2022 года составило 3,4 млрд рублей или 36,5 % от утвержденных бюджетных ассигнований, в том числе за счет средств краевого бюджета 1,4 млрд рублей или 41,2 % от утвержденных ассигнований).</w:t>
      </w:r>
    </w:p>
    <w:p w14:paraId="6E000000">
      <w:pPr>
        <w:spacing w:line="312" w:lineRule="auto"/>
        <w:ind w:right="43"/>
        <w:jc w:val="center"/>
        <w:rPr>
          <w:b w:val="1"/>
          <w:sz w:val="28"/>
        </w:rPr>
      </w:pPr>
    </w:p>
    <w:p w14:paraId="6F000000">
      <w:pPr>
        <w:spacing w:line="312" w:lineRule="auto"/>
        <w:ind w:right="43"/>
        <w:jc w:val="center"/>
        <w:rPr>
          <w:b w:val="1"/>
          <w:sz w:val="28"/>
        </w:rPr>
      </w:pPr>
      <w:r>
        <w:rPr>
          <w:b w:val="1"/>
          <w:sz w:val="28"/>
        </w:rPr>
        <w:t>Исполнение краевых инвестицион</w:t>
      </w:r>
      <w:r>
        <w:rPr>
          <w:b w:val="1"/>
          <w:sz w:val="28"/>
        </w:rPr>
        <w:t>ных мероприятий</w:t>
      </w:r>
    </w:p>
    <w:p w14:paraId="70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Исполнение расходов на реализацию краевых инвестиционных мероприятий за 1 полугодие 2023 года составило 4,0 млрд рублей или 23,3 % от утвержденного объема ассигнований, в том числе за счет средств краевого бюджета </w:t>
      </w:r>
      <w:r>
        <w:rPr>
          <w:sz w:val="28"/>
        </w:rPr>
        <w:br/>
      </w:r>
      <w:r>
        <w:rPr>
          <w:sz w:val="28"/>
        </w:rPr>
        <w:t xml:space="preserve">1,2 млрд рублей или 18,2 </w:t>
      </w:r>
      <w:r>
        <w:rPr>
          <w:sz w:val="28"/>
        </w:rPr>
        <w:t>% от утвержденных годовых ассигнований.</w:t>
      </w:r>
    </w:p>
    <w:p w14:paraId="71000000">
      <w:pPr>
        <w:spacing w:line="312" w:lineRule="auto"/>
        <w:ind w:firstLine="708" w:left="0"/>
        <w:jc w:val="both"/>
        <w:rPr>
          <w:sz w:val="28"/>
        </w:rPr>
      </w:pPr>
      <w:r>
        <w:rPr>
          <w:sz w:val="28"/>
        </w:rPr>
        <w:t>Исполнение за аналогичный период 2022 года составило 2,9 млрд рублей или 22,8 % от утвержденного объема ассигнований, в том числе за счет средств краевого бюджета 1,0 млрд рублей или 25,9 % от утвержденных годовых ас</w:t>
      </w:r>
      <w:r>
        <w:rPr>
          <w:sz w:val="28"/>
        </w:rPr>
        <w:t>сигнований.</w:t>
      </w:r>
    </w:p>
    <w:p w14:paraId="72000000">
      <w:pPr>
        <w:spacing w:line="312" w:lineRule="auto"/>
        <w:ind w:firstLine="567" w:left="0"/>
        <w:jc w:val="right"/>
        <w:rPr>
          <w:b w:val="1"/>
          <w:sz w:val="32"/>
        </w:rPr>
      </w:pPr>
    </w:p>
    <w:p w14:paraId="73000000">
      <w:pPr>
        <w:spacing w:line="312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Исполнение государственных программ</w:t>
      </w:r>
    </w:p>
    <w:p w14:paraId="74000000">
      <w:pPr>
        <w:spacing w:line="312" w:lineRule="auto"/>
        <w:ind w:firstLine="708" w:left="0"/>
        <w:jc w:val="both"/>
        <w:rPr>
          <w:sz w:val="28"/>
        </w:rPr>
      </w:pPr>
      <w:r>
        <w:rPr>
          <w:sz w:val="28"/>
        </w:rPr>
        <w:t>В 2023 году на территории Камчатского края действуют 27 государственных программ. Государственные программы охватывают все основные сферы деятельности исполнительных органов Камчатского края и направл</w:t>
      </w:r>
      <w:r>
        <w:rPr>
          <w:sz w:val="28"/>
        </w:rPr>
        <w:t xml:space="preserve">ены на повышение результативности и эффективности расходов краевого бюджета. </w:t>
      </w:r>
    </w:p>
    <w:p w14:paraId="75000000">
      <w:pPr>
        <w:spacing w:line="312" w:lineRule="auto"/>
        <w:ind w:firstLine="708" w:left="0"/>
        <w:jc w:val="both"/>
        <w:rPr>
          <w:sz w:val="28"/>
        </w:rPr>
      </w:pPr>
      <w:r>
        <w:rPr>
          <w:sz w:val="28"/>
        </w:rPr>
        <w:t xml:space="preserve">Общий объем бюджетных ассигнований на их реализацию составляет </w:t>
      </w:r>
      <w:r>
        <w:rPr>
          <w:sz w:val="28"/>
        </w:rPr>
        <w:br/>
      </w:r>
      <w:r>
        <w:rPr>
          <w:sz w:val="28"/>
        </w:rPr>
        <w:t>115,4 млрд рублей, в том числе за счет средств краевого бюджета 85,2 млрд рублей. Исполнение за 1 полугодие 2023 г</w:t>
      </w:r>
      <w:r>
        <w:rPr>
          <w:sz w:val="28"/>
        </w:rPr>
        <w:t xml:space="preserve">ода составило 54,0 млрд рублей или 46,8 % от утвержденных бюджетных ассигнований, в том числе за счет средств краевого бюджета 42,0 млрд рублей или 49,3 % от утвержденных ассигнований. </w:t>
      </w:r>
    </w:p>
    <w:p w14:paraId="76000000">
      <w:pPr>
        <w:spacing w:line="312" w:lineRule="auto"/>
        <w:ind w:firstLine="709" w:left="0" w:right="43"/>
        <w:jc w:val="both"/>
        <w:rPr>
          <w:sz w:val="28"/>
        </w:rPr>
      </w:pPr>
      <w:r>
        <w:rPr>
          <w:sz w:val="28"/>
        </w:rPr>
        <w:t>Исполнение за 1 полугодие 2022 года составило 48,3</w:t>
      </w:r>
      <w:r>
        <w:rPr>
          <w:sz w:val="28"/>
        </w:rPr>
        <w:t xml:space="preserve"> млрд рублей или 47,2 % от утвержденных бюджетных ассигнований, в том числе за счет средств краевого бюджета 38,3 млрд рублей или 51,8 % от утвержденных ассигнований.</w:t>
      </w:r>
    </w:p>
    <w:p w14:paraId="77000000">
      <w:pPr>
        <w:spacing w:line="312" w:lineRule="auto"/>
        <w:ind w:right="43"/>
        <w:jc w:val="right"/>
        <w:rPr>
          <w:b w:val="1"/>
          <w:sz w:val="32"/>
        </w:rPr>
      </w:pPr>
    </w:p>
    <w:p w14:paraId="78000000">
      <w:pPr>
        <w:spacing w:line="312" w:lineRule="auto"/>
        <w:ind w:firstLine="709" w:left="0" w:right="43"/>
        <w:jc w:val="center"/>
        <w:rPr>
          <w:b w:val="1"/>
          <w:sz w:val="28"/>
        </w:rPr>
      </w:pPr>
      <w:r>
        <w:rPr>
          <w:b w:val="1"/>
          <w:sz w:val="28"/>
        </w:rPr>
        <w:t xml:space="preserve">Исполнение расходов по предоставлению межбюджетных </w:t>
      </w:r>
    </w:p>
    <w:p w14:paraId="79000000">
      <w:pPr>
        <w:spacing w:line="312" w:lineRule="auto"/>
        <w:ind w:firstLine="709" w:left="0" w:right="43"/>
        <w:jc w:val="center"/>
        <w:rPr>
          <w:b w:val="1"/>
          <w:sz w:val="28"/>
        </w:rPr>
      </w:pPr>
      <w:r>
        <w:rPr>
          <w:b w:val="1"/>
          <w:sz w:val="28"/>
        </w:rPr>
        <w:t>трансфертов местным бюджетам</w:t>
      </w:r>
    </w:p>
    <w:p w14:paraId="7A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Общий объем межбюджетных трансфертов из краевого бюджета местным бюджетам в 2023 году утвержден в сумме 27,6 млрд рублей, что составляет 23,2 % от общего объема расходов, исполнение за 1 полугодие 2023 года составило </w:t>
      </w:r>
      <w:r>
        <w:rPr>
          <w:sz w:val="28"/>
        </w:rPr>
        <w:br/>
      </w:r>
      <w:r>
        <w:rPr>
          <w:sz w:val="28"/>
        </w:rPr>
        <w:t>13,4 млрд рублей или 48,6 % от утвержд</w:t>
      </w:r>
      <w:r>
        <w:rPr>
          <w:sz w:val="28"/>
        </w:rPr>
        <w:t xml:space="preserve">енных ассигнований. Доля межбюджетных трансфертов местным бюджетам в общем объеме расходов по исполнению краевого бюджета составила 24,1 % (исполнение за 1 полугодие 2022 года составило </w:t>
      </w:r>
      <w:r>
        <w:rPr>
          <w:sz w:val="28"/>
        </w:rPr>
        <w:br/>
      </w:r>
      <w:r>
        <w:rPr>
          <w:sz w:val="28"/>
        </w:rPr>
        <w:t>11,5 млрд рублей или 45,8 % от утвержденных ассигнований).</w:t>
      </w:r>
    </w:p>
    <w:p w14:paraId="7B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Общий объе</w:t>
      </w:r>
      <w:r>
        <w:rPr>
          <w:sz w:val="28"/>
        </w:rPr>
        <w:t xml:space="preserve">м дотаций бюджетам муниципальных образований в 2023 году утвержден в сумме 5,0 млрд рублей, исполнение за 1 полугодие 2023 года составило </w:t>
      </w:r>
      <w:r>
        <w:rPr>
          <w:sz w:val="28"/>
        </w:rPr>
        <w:br/>
      </w:r>
      <w:r>
        <w:rPr>
          <w:sz w:val="28"/>
        </w:rPr>
        <w:t>2,4 млрд рублей или 47,3 % от утвержденного объема ассигнований (исполнение за 1 полугодие 2022 года – 1,7 млрд рубле</w:t>
      </w:r>
      <w:r>
        <w:rPr>
          <w:sz w:val="28"/>
        </w:rPr>
        <w:t>й или 46,8 % от утвержденного объема ассигнований).</w:t>
      </w:r>
    </w:p>
    <w:p w14:paraId="7C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В целях </w:t>
      </w:r>
      <w:r>
        <w:rPr>
          <w:sz w:val="28"/>
        </w:rPr>
        <w:t>софинансирования</w:t>
      </w:r>
      <w:r>
        <w:rPr>
          <w:sz w:val="28"/>
        </w:rPr>
        <w:t xml:space="preserve"> расходных обязательств муниципальных образований (в том числе первоочередных – по выплате заработной платы и начислений на нее) местным бюджетам в 2023 году утверждены субсидии в </w:t>
      </w:r>
      <w:r>
        <w:rPr>
          <w:sz w:val="28"/>
        </w:rPr>
        <w:t xml:space="preserve">сумме 6,8 млрд рублей, исполнение за 1 полугодие 2023 года составило 2,4 млрд рублей или 35,7 % от утвержденного объема годовых ассигнований (за 1 полугодие 2022 года – 2,3 млрд рублей или 33,1 % от утвержденного объема годовых ассигнований). </w:t>
      </w:r>
    </w:p>
    <w:p w14:paraId="7D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Общий объем </w:t>
      </w:r>
      <w:r>
        <w:rPr>
          <w:sz w:val="28"/>
        </w:rPr>
        <w:t xml:space="preserve">субвенций, предоставляемых местным бюджетам из краевого бюджета, утвержден в 2023 году в сумме 14,3 млрд рублей, исполнение за </w:t>
      </w:r>
      <w:r>
        <w:rPr>
          <w:sz w:val="28"/>
        </w:rPr>
        <w:br/>
      </w:r>
      <w:r>
        <w:rPr>
          <w:sz w:val="28"/>
        </w:rPr>
        <w:t>1 полугодие 2023 года составило 7,8 млрд рублей или 54,7 % от утвержденных ассигнований (за 1 полугодие 2022 года – 7,1 млрд руб</w:t>
      </w:r>
      <w:r>
        <w:rPr>
          <w:sz w:val="28"/>
        </w:rPr>
        <w:t>лей или 52,9 % от утвержденных ассигнований).</w:t>
      </w:r>
    </w:p>
    <w:p w14:paraId="7E000000">
      <w:pPr>
        <w:spacing w:line="288" w:lineRule="auto"/>
        <w:ind w:firstLine="709" w:left="0"/>
        <w:jc w:val="both"/>
        <w:rPr>
          <w:sz w:val="28"/>
        </w:rPr>
      </w:pPr>
      <w:r>
        <w:rPr>
          <w:sz w:val="28"/>
        </w:rPr>
        <w:t>Общий объем иных межбюджетных трансфертов, предоставляемых местным бюджетам из краевого бюджета, утвержден в сумме 1,5 млрд рублей. За 1 полугодие 2023 года исполнение составило 0,8 млрд рублей или 53,5 % от ут</w:t>
      </w:r>
      <w:r>
        <w:rPr>
          <w:sz w:val="28"/>
        </w:rPr>
        <w:t xml:space="preserve">вержденного объема годовых ассигнований (исполнение за 1 полугодие 2022 года – </w:t>
      </w:r>
      <w:r>
        <w:rPr>
          <w:sz w:val="28"/>
        </w:rPr>
        <w:br/>
      </w:r>
      <w:r>
        <w:rPr>
          <w:sz w:val="28"/>
        </w:rPr>
        <w:t>0,4 млрд рублей или 36,8 % от утвержденного объема годовых ассигнований).</w:t>
      </w:r>
    </w:p>
    <w:p w14:paraId="7F000000">
      <w:pPr>
        <w:spacing w:line="312" w:lineRule="auto"/>
        <w:ind w:firstLine="709" w:left="0"/>
        <w:jc w:val="center"/>
        <w:rPr>
          <w:b w:val="1"/>
          <w:color w:val="252525"/>
          <w:sz w:val="28"/>
          <w:highlight w:val="yellow"/>
        </w:rPr>
      </w:pPr>
    </w:p>
    <w:p w14:paraId="80000000">
      <w:pPr>
        <w:spacing w:line="312" w:lineRule="auto"/>
        <w:ind w:firstLine="709" w:left="0"/>
        <w:jc w:val="center"/>
        <w:rPr>
          <w:b w:val="1"/>
          <w:color w:val="252525"/>
          <w:sz w:val="28"/>
        </w:rPr>
      </w:pPr>
      <w:r>
        <w:rPr>
          <w:b w:val="1"/>
          <w:color w:val="252525"/>
          <w:sz w:val="28"/>
        </w:rPr>
        <w:t>Исполнение расходов краевого бюджета, осуществляемых за счет целевых средств, полученных из федеральн</w:t>
      </w:r>
      <w:r>
        <w:rPr>
          <w:b w:val="1"/>
          <w:color w:val="252525"/>
          <w:sz w:val="28"/>
        </w:rPr>
        <w:t>ого бюджета</w:t>
      </w:r>
    </w:p>
    <w:p w14:paraId="81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Общий объем ассигнований краевого бюджета за счет межбюджетных трансфертов, предоставляемых из федерального бюджета в форме субсидий, субвенций и иных межбюджетных трансфертов (далее – целевые федеральные средства) составляет 18,6 млрд рублей.</w:t>
      </w:r>
    </w:p>
    <w:p w14:paraId="82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Исполнение за 1 полугодие 2023 года составило 7,1 млрд рублей или 37,9 % от утвержденного объема годовых ассигнований (при установленном типовым графиком (контрольных точек) бюджетных и закупочных процедур на федеральном уровне значении на 01.07.2023– 50,0</w:t>
      </w:r>
      <w:r>
        <w:rPr>
          <w:sz w:val="28"/>
        </w:rPr>
        <w:t xml:space="preserve"> %).</w:t>
      </w:r>
    </w:p>
    <w:p w14:paraId="83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В процентном соотношении исполнение целевых федеральных средств в разрезе государственных программ Камчатского края выглядит следующим образом:</w:t>
      </w:r>
    </w:p>
    <w:p w14:paraId="84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«Развитие здравоохранения Камчатского края» – 19,5 %;</w:t>
      </w:r>
    </w:p>
    <w:p w14:paraId="85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«Развитие образования в Камчатском крае» – 64,1 %;</w:t>
      </w:r>
    </w:p>
    <w:p w14:paraId="86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«Р</w:t>
      </w:r>
      <w:r>
        <w:rPr>
          <w:sz w:val="28"/>
        </w:rPr>
        <w:t>азвитие культуры в Камчатском крае» – 67,0 %;</w:t>
      </w:r>
    </w:p>
    <w:p w14:paraId="87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«Семья и дети Камчатки» – 32,8%;</w:t>
      </w:r>
    </w:p>
    <w:p w14:paraId="88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«Социальная поддержка граждан в Камчатском крае» – 58,0 %;</w:t>
      </w:r>
    </w:p>
    <w:p w14:paraId="89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«Содействие занятости населения Камчатского края» – 51,7 %;</w:t>
      </w:r>
    </w:p>
    <w:p w14:paraId="8A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«Развитие физической культуры и спорта в Камчатском крае» </w:t>
      </w:r>
      <w:r>
        <w:rPr>
          <w:sz w:val="28"/>
        </w:rPr>
        <w:t>– 30,6 %;</w:t>
      </w:r>
    </w:p>
    <w:p w14:paraId="8B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«Развитие экономики и внешнеэкономической деятельности Камчатского края» – 54,2 %;</w:t>
      </w:r>
    </w:p>
    <w:p w14:paraId="8C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«Развитие сельского хозяйства и регулирование рынков сельскохозяйственной продукции, сырья и продовольствия Камчатского края» – 64,1 %;</w:t>
      </w:r>
    </w:p>
    <w:p w14:paraId="8D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«Обеспечение доступным и ко</w:t>
      </w:r>
      <w:r>
        <w:rPr>
          <w:sz w:val="28"/>
        </w:rPr>
        <w:t>мфортным жильем жителей Камчатского края»-19,9 %;</w:t>
      </w:r>
    </w:p>
    <w:p w14:paraId="8E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 «Развитие транспортной системы в Камчатском крае» – 44,7 %;</w:t>
      </w:r>
    </w:p>
    <w:p w14:paraId="8F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«Охрана окружающей среды, воспроизводство и использование природных ресурсов в Камчатском крае» – 44,6 %;</w:t>
      </w:r>
    </w:p>
    <w:p w14:paraId="90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«Развитие лесного хозяйства Камчатского</w:t>
      </w:r>
      <w:r>
        <w:rPr>
          <w:sz w:val="28"/>
        </w:rPr>
        <w:t xml:space="preserve"> края» – 67,8 %;</w:t>
      </w:r>
    </w:p>
    <w:p w14:paraId="91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 «Реализация государственной национальной политики и укрепление гражданского единства в Камчатском крае» – 57,3 %;</w:t>
      </w:r>
    </w:p>
    <w:p w14:paraId="92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 «Управление государственными финансами Камчатского края» – 54,6 %;</w:t>
      </w:r>
    </w:p>
    <w:p w14:paraId="93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 «Формирование современной городской среды в Камчатском </w:t>
      </w:r>
      <w:r>
        <w:rPr>
          <w:sz w:val="28"/>
        </w:rPr>
        <w:t>крае» – 51,3 %;</w:t>
      </w:r>
    </w:p>
    <w:p w14:paraId="94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«Оказание содействия добровольному переселению в Камчатский край соотечественников, проживающих за рубежом» – 39,2 %;</w:t>
      </w:r>
    </w:p>
    <w:p w14:paraId="95000000">
      <w:pPr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«Комплексное развитие сельских территорий Камчатского края» – 43,3 %.</w:t>
      </w:r>
    </w:p>
    <w:p w14:paraId="96000000">
      <w:pPr>
        <w:spacing w:line="312" w:lineRule="auto"/>
        <w:ind w:firstLine="709" w:left="0"/>
        <w:jc w:val="both"/>
        <w:rPr>
          <w:color w:val="252525"/>
          <w:sz w:val="28"/>
        </w:rPr>
      </w:pPr>
      <w:r>
        <w:rPr>
          <w:color w:val="252525"/>
          <w:sz w:val="28"/>
        </w:rPr>
        <w:t>Основной причиной не достижения Камчатским краем рек</w:t>
      </w:r>
      <w:r>
        <w:rPr>
          <w:color w:val="252525"/>
          <w:sz w:val="28"/>
        </w:rPr>
        <w:t>омендованного на федеральном уровне процента исполнения целевых федеральных средств (50%) является сезонность выполнения работ, особенность проведения конкурентных процедур, заявительный характер выплат.</w:t>
      </w:r>
    </w:p>
    <w:p w14:paraId="97000000">
      <w:pPr>
        <w:spacing w:line="312" w:lineRule="auto"/>
        <w:ind w:firstLine="709" w:left="0"/>
        <w:jc w:val="both"/>
        <w:rPr>
          <w:sz w:val="28"/>
          <w:highlight w:val="yellow"/>
        </w:rPr>
      </w:pPr>
    </w:p>
    <w:p w14:paraId="98000000">
      <w:pPr>
        <w:spacing w:line="312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Дефицит краевого бюджета и источники финансирования </w:t>
      </w:r>
      <w:r>
        <w:rPr>
          <w:b w:val="1"/>
          <w:sz w:val="28"/>
        </w:rPr>
        <w:br/>
      </w:r>
      <w:r>
        <w:rPr>
          <w:b w:val="1"/>
          <w:sz w:val="28"/>
        </w:rPr>
        <w:t>дефицита бюджета</w:t>
      </w:r>
    </w:p>
    <w:p w14:paraId="99000000">
      <w:pPr>
        <w:tabs>
          <w:tab w:leader="none" w:pos="709" w:val="left"/>
        </w:tabs>
        <w:spacing w:line="312" w:lineRule="auto"/>
        <w:ind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 xml:space="preserve">За 1 полугодие 2023 года краевой бюджет исполнен с дефицитом в сумме </w:t>
      </w:r>
      <w:r>
        <w:rPr>
          <w:sz w:val="28"/>
        </w:rPr>
        <w:br/>
      </w:r>
      <w:r>
        <w:rPr>
          <w:sz w:val="28"/>
        </w:rPr>
        <w:t>1,1 млрд рублей.</w:t>
      </w:r>
    </w:p>
    <w:p w14:paraId="9A000000">
      <w:pPr>
        <w:tabs>
          <w:tab w:leader="none" w:pos="1397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Законом Камчатского края от 29.11.2022 № 155 «О краевом бюджете на </w:t>
      </w:r>
      <w:r>
        <w:rPr>
          <w:sz w:val="28"/>
        </w:rPr>
        <w:br/>
      </w:r>
      <w:r>
        <w:rPr>
          <w:sz w:val="28"/>
        </w:rPr>
        <w:t xml:space="preserve">2023 год и на плановый период </w:t>
      </w:r>
      <w:r>
        <w:rPr>
          <w:sz w:val="28"/>
        </w:rPr>
        <w:t>2024 и 2025 годов» в составе источников финансирования дефицита краевого бюджета на 2023 год утверждено:</w:t>
      </w:r>
    </w:p>
    <w:p w14:paraId="9B000000">
      <w:pPr>
        <w:numPr>
          <w:ilvl w:val="0"/>
          <w:numId w:val="3"/>
        </w:num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погашение государственных ценных бумаг, номинальная стоимость которых указана в валюте Российской Федерации, в размере 300,0 млн рублей. Дата погашения</w:t>
      </w:r>
      <w:r>
        <w:rPr>
          <w:sz w:val="28"/>
        </w:rPr>
        <w:t xml:space="preserve"> второй амортизационной части государственных облигаций Камчатского края – 13 ноября 2023 года;</w:t>
      </w:r>
    </w:p>
    <w:p w14:paraId="9C000000">
      <w:pPr>
        <w:numPr>
          <w:ilvl w:val="0"/>
          <w:numId w:val="3"/>
        </w:num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привлечение кредитов от кредитных организаций бюджетами субъектов Российской Федерации в валюте Российской Федерации в размере 7,7 млрд рублей. В отчетном перио</w:t>
      </w:r>
      <w:r>
        <w:rPr>
          <w:sz w:val="28"/>
        </w:rPr>
        <w:t>де текущего финансового года кредиты от кредитных организаций не привлекались;</w:t>
      </w:r>
    </w:p>
    <w:p w14:paraId="9D000000">
      <w:pPr>
        <w:numPr>
          <w:ilvl w:val="0"/>
          <w:numId w:val="3"/>
        </w:num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погашение бюджетами субъектов Российской Федерации кредитов от кредитных организаций в валюте Российской Федерации в размере 3,0 млрд рублей. За 1 полугодие 2023 года объем пога</w:t>
      </w:r>
      <w:r>
        <w:rPr>
          <w:sz w:val="28"/>
        </w:rPr>
        <w:t>шенных кредитов от кредитных организаций составил 2,2 млрд рублей;</w:t>
      </w:r>
    </w:p>
    <w:p w14:paraId="9E000000">
      <w:pPr>
        <w:numPr>
          <w:ilvl w:val="0"/>
          <w:numId w:val="3"/>
        </w:num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в размере 7,6 млрд рублей (в том числе </w:t>
      </w:r>
      <w:r>
        <w:rPr>
          <w:sz w:val="28"/>
        </w:rPr>
        <w:t>бюджетные кредиты на пополнение остатка средств на едином счете бюджета – 6,5 млрд рублей, бюджетный кредит на финансовое обеспечение реализации инфраструктурных проектов – 1,1 млрд рублей). За 1 полугодие 2023 году объем привлеченных в краевой бюджет бюдж</w:t>
      </w:r>
      <w:r>
        <w:rPr>
          <w:sz w:val="28"/>
        </w:rPr>
        <w:t>етных кредитов составил 3,5 млрд рублей (в том числе бюджетные кредиты на пополнение остатка средств на едином счете бюджета –         2,7 млрд рублей, бюджетный кредит на финансовое обеспечение реализации инфраструктурных проектов – 462,9 млн рублей, бюдж</w:t>
      </w:r>
      <w:r>
        <w:rPr>
          <w:sz w:val="28"/>
        </w:rPr>
        <w:t xml:space="preserve">етный кредит на опережающее финансирование расходных обязательств, принимаемых в целях реализации мероприятий на </w:t>
      </w:r>
      <w:r>
        <w:rPr>
          <w:sz w:val="28"/>
        </w:rPr>
        <w:t>софинансирование</w:t>
      </w:r>
      <w:r>
        <w:rPr>
          <w:sz w:val="28"/>
        </w:rPr>
        <w:t xml:space="preserve"> которых в 2024 году из федерального бюджета предоставляются межбюджетные трансферты – 319,7 млн рублей);</w:t>
      </w:r>
    </w:p>
    <w:p w14:paraId="9F000000">
      <w:pPr>
        <w:numPr>
          <w:ilvl w:val="0"/>
          <w:numId w:val="4"/>
        </w:num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погашение бюджетами с</w:t>
      </w:r>
      <w:r>
        <w:rPr>
          <w:sz w:val="28"/>
        </w:rPr>
        <w:t xml:space="preserve">убъектов Российской Федерации кредитов из других бюджетов бюджетной системы Российской Федерации в объеме </w:t>
      </w:r>
      <w:r>
        <w:rPr>
          <w:sz w:val="28"/>
        </w:rPr>
        <w:br/>
      </w:r>
      <w:r>
        <w:rPr>
          <w:sz w:val="28"/>
        </w:rPr>
        <w:t>6,5 млрд рублей (бюджетные кредиты на пополнение остатка средств на едином счете бюджета). В отчетном периоде текущего финансового года погашение бюд</w:t>
      </w:r>
      <w:r>
        <w:rPr>
          <w:sz w:val="28"/>
        </w:rPr>
        <w:t>жетных кредитов не осуществлялось;</w:t>
      </w:r>
    </w:p>
    <w:p w14:paraId="A0000000">
      <w:pPr>
        <w:numPr>
          <w:ilvl w:val="0"/>
          <w:numId w:val="4"/>
        </w:num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иные источники внутреннего финансирования дефицитов бюджетов, </w:t>
      </w:r>
      <w:r>
        <w:rPr>
          <w:sz w:val="28"/>
        </w:rPr>
        <w:br/>
      </w:r>
      <w:r>
        <w:rPr>
          <w:sz w:val="28"/>
        </w:rPr>
        <w:t>в том числе:</w:t>
      </w:r>
    </w:p>
    <w:p w14:paraId="A1000000">
      <w:pPr>
        <w:tabs>
          <w:tab w:leader="none" w:pos="709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- предоставление бюджетных кредитов юридическим лицам в сумме </w:t>
      </w:r>
      <w:r>
        <w:rPr>
          <w:sz w:val="28"/>
        </w:rPr>
        <w:br/>
      </w:r>
      <w:r>
        <w:rPr>
          <w:sz w:val="28"/>
        </w:rPr>
        <w:t xml:space="preserve">1,5 млрд рублей. За 1 полугодие 2023 года предоставлены бюджетные кредиты </w:t>
      </w:r>
      <w:r>
        <w:rPr>
          <w:sz w:val="28"/>
        </w:rPr>
        <w:br/>
      </w:r>
      <w:r>
        <w:rPr>
          <w:sz w:val="28"/>
        </w:rPr>
        <w:t xml:space="preserve">АО </w:t>
      </w:r>
      <w:r>
        <w:rPr>
          <w:sz w:val="28"/>
        </w:rPr>
        <w:t>«</w:t>
      </w:r>
      <w:r>
        <w:rPr>
          <w:sz w:val="28"/>
        </w:rPr>
        <w:t>Камчатэнергосервис</w:t>
      </w:r>
      <w:r>
        <w:rPr>
          <w:sz w:val="28"/>
        </w:rPr>
        <w:t>» и ПАО «Камчатскэнерго» на общую сумму 1,4 млрд рублей;</w:t>
      </w:r>
    </w:p>
    <w:p w14:paraId="A2000000">
      <w:pPr>
        <w:tabs>
          <w:tab w:leader="none" w:pos="0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- возврат бюджетных кредитов, предоставленных юридическим лицам, в сумме 1,7 млрд рублей. В отчетном периоде текущего финансового года возврат юридическими лицами ранее предоставле</w:t>
      </w:r>
      <w:r>
        <w:rPr>
          <w:sz w:val="28"/>
        </w:rPr>
        <w:t>нных бюджетных кредитов не осуществлялся;</w:t>
      </w:r>
    </w:p>
    <w:p w14:paraId="A3000000">
      <w:pPr>
        <w:tabs>
          <w:tab w:leader="none" w:pos="0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- 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</w:t>
      </w:r>
      <w:r>
        <w:rPr>
          <w:sz w:val="28"/>
        </w:rPr>
        <w:t>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</w:t>
      </w:r>
      <w:r>
        <w:rPr>
          <w:sz w:val="28"/>
        </w:rPr>
        <w:t xml:space="preserve">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 в сумме «минус» 7,3 млрд рублей (в размере остатка привлеченных с казначейских счетов </w:t>
      </w:r>
      <w:r>
        <w:rPr>
          <w:sz w:val="28"/>
        </w:rPr>
        <w:t>средств на 01.01.2023, подлежащего восстановлению). За 1 полугодие 2023 года увеличение финансовых активов за счет привлеченных остатков средств с казначейских счетов составило 2,0 млрд рублей.</w:t>
      </w:r>
    </w:p>
    <w:p w14:paraId="A4000000">
      <w:pPr>
        <w:numPr>
          <w:ilvl w:val="0"/>
          <w:numId w:val="4"/>
        </w:num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погашение бюджетами субъектов Российской Федерации бюджетных к</w:t>
      </w:r>
      <w:r>
        <w:rPr>
          <w:sz w:val="28"/>
        </w:rPr>
        <w:t>редитов в иностранной валюте, предоставленных Российской Федерацией в рамках использования целевых иностранных кредитов в объеме 189,0 млн рублей. В соответствии с установленным соглашением о реструктуризации задолженности от 26.09.2005 № 01-01-06/04-134 г</w:t>
      </w:r>
      <w:r>
        <w:rPr>
          <w:sz w:val="28"/>
        </w:rPr>
        <w:t>рафиком платежей срок погашения бюджетного кредита – 29 декабря 2023 года.</w:t>
      </w:r>
    </w:p>
    <w:p w14:paraId="A5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Необходимо отметить, что в ходе исполнения краевого бюджета в отчетном периоде текущего финансового года, несмотря на возникшие в связи с внедрением института единого налогового сче</w:t>
      </w:r>
      <w:r>
        <w:rPr>
          <w:sz w:val="28"/>
        </w:rPr>
        <w:t>та кассовые разрывы, удалось профинансировать все поступившие заявки главных распорядителей средств краевого бюджета. Основными источниками покрытия кассовых разрывов стали привлеченные на единый счет бюджета остатки средств с казначейских счетов и бюджетн</w:t>
      </w:r>
      <w:r>
        <w:rPr>
          <w:sz w:val="28"/>
        </w:rPr>
        <w:t>ые кредиты на пополнение остатка средств на едином счете бюджета, предоставленные по результатам проведенной работы с Минфином России и Федеральным казначейством по установлению Камчатскому краю на 2023 год лимита предоставления бюджетного кредита на попол</w:t>
      </w:r>
      <w:r>
        <w:rPr>
          <w:sz w:val="28"/>
        </w:rPr>
        <w:t>нение остатка средств на едином счете бюджета.</w:t>
      </w:r>
    </w:p>
    <w:p w14:paraId="A6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Кроме того, за счет предоставленных бюджетных кредитов на пополнение остатка средств на едином счете бюджета частично были погашены кредиты от кредитных организаций (возобновляемые кредитные линии).</w:t>
      </w:r>
    </w:p>
    <w:p w14:paraId="A7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</w:p>
    <w:p w14:paraId="A8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</w:p>
    <w:p w14:paraId="A9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</w:p>
    <w:p w14:paraId="AA000000">
      <w:pPr>
        <w:tabs>
          <w:tab w:leader="none" w:pos="0" w:val="left"/>
        </w:tabs>
        <w:spacing w:line="276" w:lineRule="auto"/>
        <w:ind w:firstLine="709" w:left="0"/>
        <w:jc w:val="center"/>
        <w:rPr>
          <w:b w:val="1"/>
          <w:sz w:val="28"/>
        </w:rPr>
      </w:pPr>
      <w:r>
        <w:rPr>
          <w:b w:val="1"/>
          <w:sz w:val="28"/>
        </w:rPr>
        <w:t>Структура государственного долга Камчатского края:</w:t>
      </w:r>
    </w:p>
    <w:p w14:paraId="AB000000">
      <w:pPr>
        <w:tabs>
          <w:tab w:leader="none" w:pos="0" w:val="left"/>
        </w:tabs>
        <w:spacing w:line="276" w:lineRule="auto"/>
        <w:ind w:firstLine="709" w:left="0"/>
        <w:jc w:val="right"/>
        <w:rPr>
          <w:sz w:val="18"/>
        </w:rPr>
      </w:pPr>
    </w:p>
    <w:p w14:paraId="AC000000">
      <w:pPr>
        <w:tabs>
          <w:tab w:leader="none" w:pos="0" w:val="left"/>
        </w:tabs>
        <w:spacing w:line="276" w:lineRule="auto"/>
        <w:ind w:firstLine="709" w:left="0"/>
        <w:jc w:val="right"/>
        <w:rPr>
          <w:sz w:val="18"/>
        </w:rPr>
      </w:pPr>
      <w:r>
        <w:rPr>
          <w:sz w:val="18"/>
        </w:rPr>
        <w:t>(в млрд рублей)</w:t>
      </w:r>
    </w:p>
    <w:tbl>
      <w:tblPr>
        <w:tblStyle w:val="Style_4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815"/>
        <w:gridCol w:w="2697"/>
        <w:gridCol w:w="2697"/>
      </w:tblGrid>
      <w:tr>
        <w:trPr>
          <w:trHeight w:hRule="atLeast" w:val="360"/>
        </w:trPr>
        <w:tc>
          <w:tcPr>
            <w:tcW w:type="dxa" w:w="48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00000">
            <w:r>
              <w:rPr>
                <w:b w:val="1"/>
                <w:sz w:val="22"/>
              </w:rPr>
              <w:t>Вид долгового обязательства</w:t>
            </w:r>
          </w:p>
        </w:tc>
        <w:tc>
          <w:tcPr>
            <w:tcW w:type="dxa" w:w="2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00000">
            <w:pPr>
              <w:ind/>
              <w:jc w:val="center"/>
              <w:rPr>
                <w:b w:val="1"/>
                <w:sz w:val="22"/>
              </w:rPr>
            </w:pPr>
            <w:r>
              <w:rPr>
                <w:b w:val="1"/>
                <w:sz w:val="22"/>
              </w:rPr>
              <w:t>на 1 июля 2022 года</w:t>
            </w:r>
          </w:p>
        </w:tc>
        <w:tc>
          <w:tcPr>
            <w:tcW w:type="dxa" w:w="2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F000000">
            <w:pPr>
              <w:ind/>
              <w:jc w:val="center"/>
            </w:pPr>
            <w:r>
              <w:rPr>
                <w:b w:val="1"/>
                <w:sz w:val="22"/>
              </w:rPr>
              <w:t>на 1 июля 2023 года</w:t>
            </w:r>
          </w:p>
        </w:tc>
      </w:tr>
      <w:tr>
        <w:trPr>
          <w:trHeight w:hRule="atLeast" w:val="360"/>
        </w:trPr>
        <w:tc>
          <w:tcPr>
            <w:tcW w:type="dxa" w:w="48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0000000">
            <w:pPr>
              <w:spacing w:line="276" w:lineRule="auto"/>
              <w:ind/>
              <w:jc w:val="both"/>
              <w:rPr>
                <w:sz w:val="22"/>
              </w:rPr>
            </w:pPr>
            <w:r>
              <w:rPr>
                <w:sz w:val="22"/>
              </w:rPr>
              <w:t>Государственные ценные бумаги субъекта Российской Федерации</w:t>
            </w:r>
          </w:p>
        </w:tc>
        <w:tc>
          <w:tcPr>
            <w:tcW w:type="dxa" w:w="2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1000000">
            <w:pPr>
              <w:spacing w:line="276" w:lineRule="auto"/>
              <w:ind w:firstLine="709" w:left="0"/>
              <w:jc w:val="right"/>
              <w:rPr>
                <w:sz w:val="22"/>
              </w:rPr>
            </w:pPr>
            <w:r>
              <w:rPr>
                <w:sz w:val="22"/>
              </w:rPr>
              <w:t>1,0</w:t>
            </w:r>
          </w:p>
        </w:tc>
        <w:tc>
          <w:tcPr>
            <w:tcW w:type="dxa" w:w="2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2000000">
            <w:pPr>
              <w:ind/>
              <w:jc w:val="right"/>
              <w:rPr>
                <w:sz w:val="22"/>
              </w:rPr>
            </w:pPr>
            <w:r>
              <w:rPr>
                <w:sz w:val="22"/>
              </w:rPr>
              <w:t>0,7</w:t>
            </w:r>
          </w:p>
        </w:tc>
      </w:tr>
      <w:tr>
        <w:trPr>
          <w:trHeight w:hRule="atLeast" w:val="360"/>
        </w:trPr>
        <w:tc>
          <w:tcPr>
            <w:tcW w:type="dxa" w:w="48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3000000">
            <w:pPr>
              <w:widowControl w:val="1"/>
              <w:spacing w:line="276" w:lineRule="auto"/>
              <w:ind/>
              <w:jc w:val="both"/>
              <w:rPr>
                <w:sz w:val="22"/>
              </w:rPr>
            </w:pPr>
            <w:r>
              <w:rPr>
                <w:sz w:val="22"/>
              </w:rPr>
              <w:t xml:space="preserve">Кредиты, привлеченные субъектом Российской </w:t>
            </w:r>
            <w:r>
              <w:rPr>
                <w:sz w:val="22"/>
              </w:rPr>
              <w:t>Федерации от кредитных организаций</w:t>
            </w:r>
          </w:p>
        </w:tc>
        <w:tc>
          <w:tcPr>
            <w:tcW w:type="dxa" w:w="2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4000000">
            <w:pPr>
              <w:ind/>
              <w:jc w:val="right"/>
              <w:rPr>
                <w:sz w:val="22"/>
              </w:rPr>
            </w:pPr>
            <w:r>
              <w:rPr>
                <w:sz w:val="22"/>
              </w:rPr>
              <w:t>1,0</w:t>
            </w:r>
          </w:p>
        </w:tc>
        <w:tc>
          <w:tcPr>
            <w:tcW w:type="dxa" w:w="2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00000">
            <w:pPr>
              <w:ind/>
              <w:jc w:val="right"/>
              <w:rPr>
                <w:sz w:val="22"/>
              </w:rPr>
            </w:pPr>
            <w:r>
              <w:rPr>
                <w:sz w:val="22"/>
              </w:rPr>
              <w:t>3,0</w:t>
            </w:r>
          </w:p>
        </w:tc>
      </w:tr>
      <w:tr>
        <w:trPr>
          <w:trHeight w:hRule="atLeast" w:val="360"/>
        </w:trPr>
        <w:tc>
          <w:tcPr>
            <w:tcW w:type="dxa" w:w="48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6000000">
            <w:pPr>
              <w:spacing w:line="276" w:lineRule="auto"/>
              <w:ind/>
              <w:jc w:val="both"/>
              <w:rPr>
                <w:sz w:val="22"/>
              </w:rPr>
            </w:pPr>
            <w:r>
              <w:rPr>
                <w:sz w:val="22"/>
              </w:rPr>
              <w:t>Бюджетные кредиты, привлеченные в бюджет субъекта Российской Федерации из других бюджетов бюджетной системы Российской Федерации</w:t>
            </w:r>
          </w:p>
        </w:tc>
        <w:tc>
          <w:tcPr>
            <w:tcW w:type="dxa" w:w="2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7000000">
            <w:pPr>
              <w:ind/>
              <w:jc w:val="right"/>
              <w:rPr>
                <w:sz w:val="22"/>
              </w:rPr>
            </w:pPr>
            <w:r>
              <w:rPr>
                <w:sz w:val="22"/>
              </w:rPr>
              <w:t>5,1</w:t>
            </w:r>
          </w:p>
        </w:tc>
        <w:tc>
          <w:tcPr>
            <w:tcW w:type="dxa" w:w="2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8000000">
            <w:pPr>
              <w:ind/>
              <w:jc w:val="right"/>
              <w:rPr>
                <w:sz w:val="22"/>
              </w:rPr>
            </w:pPr>
            <w:r>
              <w:rPr>
                <w:sz w:val="22"/>
              </w:rPr>
              <w:t>6,9</w:t>
            </w:r>
          </w:p>
        </w:tc>
      </w:tr>
      <w:tr>
        <w:trPr>
          <w:trHeight w:hRule="atLeast" w:val="360"/>
        </w:trPr>
        <w:tc>
          <w:tcPr>
            <w:tcW w:type="dxa" w:w="48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9000000">
            <w:r>
              <w:rPr>
                <w:b w:val="1"/>
                <w:sz w:val="22"/>
              </w:rPr>
              <w:t>ИТОГО</w:t>
            </w:r>
          </w:p>
        </w:tc>
        <w:tc>
          <w:tcPr>
            <w:tcW w:type="dxa" w:w="2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A000000">
            <w:pPr>
              <w:ind/>
              <w:jc w:val="right"/>
              <w:rPr>
                <w:b w:val="1"/>
                <w:sz w:val="22"/>
              </w:rPr>
            </w:pPr>
            <w:r>
              <w:rPr>
                <w:b w:val="1"/>
                <w:sz w:val="22"/>
              </w:rPr>
              <w:t>7,1</w:t>
            </w:r>
          </w:p>
        </w:tc>
        <w:tc>
          <w:tcPr>
            <w:tcW w:type="dxa" w:w="2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B000000">
            <w:pPr>
              <w:ind/>
              <w:jc w:val="right"/>
              <w:rPr>
                <w:b w:val="1"/>
                <w:sz w:val="22"/>
              </w:rPr>
            </w:pPr>
            <w:r>
              <w:rPr>
                <w:b w:val="1"/>
                <w:sz w:val="22"/>
              </w:rPr>
              <w:t>10,6</w:t>
            </w:r>
          </w:p>
        </w:tc>
      </w:tr>
    </w:tbl>
    <w:p w14:paraId="BC000000">
      <w:pPr>
        <w:tabs>
          <w:tab w:leader="none" w:pos="0" w:val="left"/>
        </w:tabs>
        <w:spacing w:line="276" w:lineRule="auto"/>
        <w:ind w:firstLine="709" w:left="0"/>
        <w:jc w:val="center"/>
        <w:rPr>
          <w:b w:val="1"/>
          <w:sz w:val="28"/>
        </w:rPr>
      </w:pPr>
    </w:p>
    <w:p w14:paraId="BD000000">
      <w:pPr>
        <w:tabs>
          <w:tab w:leader="none" w:pos="0" w:val="left"/>
        </w:tabs>
        <w:spacing w:line="276" w:lineRule="auto"/>
        <w:ind w:firstLine="709" w:left="0"/>
        <w:jc w:val="center"/>
        <w:rPr>
          <w:b w:val="1"/>
          <w:sz w:val="28"/>
        </w:rPr>
      </w:pPr>
    </w:p>
    <w:p w14:paraId="BE000000">
      <w:pPr>
        <w:tabs>
          <w:tab w:leader="none" w:pos="426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По сравнению с аналогичным периодом 2022 года г</w:t>
      </w:r>
      <w:r>
        <w:rPr>
          <w:sz w:val="28"/>
        </w:rPr>
        <w:t>осударственный долг Камчатского края увеличился на 3,5 млрд рублей или 49,2 % за счет привлечения в кредиты от кредитных организаций для финансирования дефицита краевого бюджета и бюджетных кредитов из федерального бюджета (на финансовое обеспечение реализ</w:t>
      </w:r>
      <w:r>
        <w:rPr>
          <w:sz w:val="28"/>
        </w:rPr>
        <w:t xml:space="preserve">ации инфраструктурных проектов и опережающее финансирование расходных обязательств, принимаемых в целях реализации мероприятий на </w:t>
      </w:r>
      <w:r>
        <w:rPr>
          <w:sz w:val="28"/>
        </w:rPr>
        <w:t>софинансирование</w:t>
      </w:r>
      <w:r>
        <w:rPr>
          <w:sz w:val="28"/>
        </w:rPr>
        <w:t xml:space="preserve"> которых в 2024 году из федерального бюджета предоставляются межбюджетные трансферты).</w:t>
      </w:r>
    </w:p>
    <w:p w14:paraId="BF000000">
      <w:pPr>
        <w:tabs>
          <w:tab w:leader="none" w:pos="426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Объем государственного </w:t>
      </w:r>
      <w:r>
        <w:rPr>
          <w:sz w:val="28"/>
        </w:rPr>
        <w:t>долга Камчатского края на 1 июля 2023 года составил 26,5 % от объема утвержденных на 2023 год прогнозных (плановых) показателей по доходам краевого бюджета без учета безвозмездных поступлений, что находится в пределах норм, установленных статьей 107 Бюджет</w:t>
      </w:r>
      <w:r>
        <w:rPr>
          <w:sz w:val="28"/>
        </w:rPr>
        <w:t>ного кодекса Российской Федерации.</w:t>
      </w:r>
    </w:p>
    <w:p w14:paraId="C0000000">
      <w:pPr>
        <w:tabs>
          <w:tab w:leader="none" w:pos="426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Рейтинг кредитоспособности Камчатского края 02.03.2023 подтвержден рейтинговым агентством «Эксперт РА» на уровне «</w:t>
      </w:r>
      <w:r>
        <w:rPr>
          <w:sz w:val="28"/>
        </w:rPr>
        <w:t>ruA</w:t>
      </w:r>
      <w:r>
        <w:rPr>
          <w:sz w:val="28"/>
        </w:rPr>
        <w:t>+» (стабильный).</w:t>
      </w:r>
    </w:p>
    <w:p w14:paraId="C1000000">
      <w:pPr>
        <w:tabs>
          <w:tab w:leader="none" w:pos="426" w:val="left"/>
        </w:tabs>
        <w:spacing w:line="312" w:lineRule="auto"/>
        <w:ind w:firstLine="709" w:left="0"/>
        <w:jc w:val="both"/>
        <w:rPr>
          <w:sz w:val="28"/>
        </w:rPr>
      </w:pPr>
    </w:p>
    <w:p w14:paraId="C2000000">
      <w:pPr>
        <w:spacing w:line="288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Регулирование контрактной системы</w:t>
      </w:r>
    </w:p>
    <w:p w14:paraId="C3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Эффективность осуществления закупок в Камчатском крае характеризуется следующими результатами: </w:t>
      </w:r>
    </w:p>
    <w:p w14:paraId="C4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За 1 полугодие 2023 года по результатам осуществления закупок товаров, работ, услуг заказчиками Камчатского края заключено 5826 контрактов на общую сумму 8 815,</w:t>
      </w:r>
      <w:r>
        <w:rPr>
          <w:sz w:val="28"/>
        </w:rPr>
        <w:t>7 млн рублей, из них по итогам:</w:t>
      </w:r>
    </w:p>
    <w:p w14:paraId="C5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 - конкурентных способов определения поставщика – 7 393,8 млн рублей,</w:t>
      </w:r>
    </w:p>
    <w:p w14:paraId="C6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 - у единственного поставщика (исполнителя, подрядчика) – 1421,9 млн рублей.</w:t>
      </w:r>
    </w:p>
    <w:p w14:paraId="C7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Сумма экономии за счет проведения состоявшихся конкурентных процедур составил</w:t>
      </w:r>
      <w:r>
        <w:rPr>
          <w:sz w:val="28"/>
        </w:rPr>
        <w:t>а 329,3 млн рублей или 4,3% относительной экономии при заключении контракта.</w:t>
      </w:r>
    </w:p>
    <w:p w14:paraId="C8000000">
      <w:pPr>
        <w:spacing w:line="276" w:lineRule="auto"/>
        <w:ind/>
      </w:pPr>
    </w:p>
    <w:p w14:paraId="C9000000">
      <w:pPr>
        <w:spacing w:line="276" w:lineRule="auto"/>
        <w:ind w:firstLine="709" w:left="0"/>
        <w:jc w:val="center"/>
        <w:rPr>
          <w:b w:val="1"/>
          <w:sz w:val="28"/>
        </w:rPr>
      </w:pPr>
      <w:r>
        <w:rPr>
          <w:b w:val="1"/>
          <w:sz w:val="28"/>
        </w:rPr>
        <w:t xml:space="preserve">Результаты осуществления внутреннего государственного </w:t>
      </w:r>
    </w:p>
    <w:p w14:paraId="CA000000">
      <w:pPr>
        <w:spacing w:line="276" w:lineRule="auto"/>
        <w:ind w:firstLine="709" w:left="0"/>
        <w:jc w:val="center"/>
        <w:rPr>
          <w:b w:val="1"/>
          <w:sz w:val="28"/>
        </w:rPr>
      </w:pPr>
      <w:r>
        <w:rPr>
          <w:b w:val="1"/>
          <w:sz w:val="28"/>
        </w:rPr>
        <w:t xml:space="preserve">финансового контроля </w:t>
      </w:r>
    </w:p>
    <w:p w14:paraId="CB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В 1 полугодии 2023 года Министерством финансов Камчатского края проведено 6 контрольных мероприятий в</w:t>
      </w:r>
      <w:r>
        <w:rPr>
          <w:sz w:val="28"/>
        </w:rPr>
        <w:t xml:space="preserve"> рамках исполнения полномочий по осуществлению внутреннего государственного финансового контроля. Объем проверенных средств составил 955,6 млн рублей. В результате осуществления внутреннего государственного финансового контроля выявлено 48 нарушений, из ко</w:t>
      </w:r>
      <w:r>
        <w:rPr>
          <w:sz w:val="28"/>
        </w:rPr>
        <w:t>торых 20 финансовых, на общую сумму 1,3 млн рублей, включая нарушения при осуществлении финансового контроля в сфере закупок на сумму 1,3 млн рублей.</w:t>
      </w:r>
    </w:p>
    <w:p w14:paraId="CC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В целях устранения выявленных проверками нарушений, а также причин и условий их совершения, руководителям </w:t>
      </w:r>
      <w:r>
        <w:rPr>
          <w:sz w:val="28"/>
        </w:rPr>
        <w:t xml:space="preserve">объектов контроля в 1 полугодии 2023 года Министерством финансов Камчатского края вынесено 4 представления. </w:t>
      </w:r>
    </w:p>
    <w:p w14:paraId="CD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В отчетном периоде Министерством финансов Камчатского края в рамках осуществления внутреннего государственного финансового контроля возбуждено 20 п</w:t>
      </w:r>
      <w:r>
        <w:rPr>
          <w:sz w:val="28"/>
        </w:rPr>
        <w:t xml:space="preserve">роизводств по делам об административных правонарушениях, из которых </w:t>
      </w:r>
      <w:r>
        <w:rPr>
          <w:sz w:val="28"/>
        </w:rPr>
        <w:br/>
      </w:r>
      <w:r>
        <w:rPr>
          <w:sz w:val="28"/>
        </w:rPr>
        <w:t>2 производства с назначением административного наказания в виде штрафа, 7 производств прекращены за малозначительностью с объявлением устных замечаний, 10 административных производств пре</w:t>
      </w:r>
      <w:r>
        <w:rPr>
          <w:sz w:val="28"/>
        </w:rPr>
        <w:t>кращены в связи с отсутствием состава административного правонарушения, по 1 административному производству вменено административное наказании в виде предупреждения.</w:t>
      </w:r>
    </w:p>
    <w:p w14:paraId="CE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Сумма штрафов, наложенных Министерством финансов Камчатского края в рамках осуществления в</w:t>
      </w:r>
      <w:r>
        <w:rPr>
          <w:sz w:val="28"/>
        </w:rPr>
        <w:t xml:space="preserve">нутреннего государственного финансового контроля на должностных (физических) лиц и юридических лиц по двум постановлениям о назначении административных наказаний, составила 21,3 тыс. рублей. </w:t>
      </w:r>
    </w:p>
    <w:p w14:paraId="CF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В соответствии с ч. 1.3-3 ст. 32.2 Кодекса Российской Федерации </w:t>
      </w:r>
      <w:r>
        <w:rPr>
          <w:sz w:val="28"/>
        </w:rPr>
        <w:t xml:space="preserve">об административных правонарушениях (далее – КоАП РФ) при уплате административного штрафа лицом, привлеченным к административной ответственности за совершение административного правонарушения, предусмотренного ч. 4 ст. 15.15.6 КоАП РФ, не позднее двадцати </w:t>
      </w:r>
      <w:r>
        <w:rPr>
          <w:sz w:val="28"/>
        </w:rPr>
        <w:t xml:space="preserve">дней со дня вынесения постановления о наложении административного штрафа, административный штраф может быть уплачен в размере половины суммы наложенного административного штрафа. </w:t>
      </w:r>
    </w:p>
    <w:p w14:paraId="D0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В связи с применением настоящего положения исполнение составило </w:t>
      </w:r>
      <w:r>
        <w:rPr>
          <w:sz w:val="28"/>
        </w:rPr>
        <w:br/>
      </w:r>
      <w:r>
        <w:rPr>
          <w:sz w:val="28"/>
        </w:rPr>
        <w:t>10,7 тыс. р</w:t>
      </w:r>
      <w:r>
        <w:rPr>
          <w:sz w:val="28"/>
        </w:rPr>
        <w:t>ублей, то есть 50 % от общей суммы наложенных административных штрафов.</w:t>
      </w:r>
    </w:p>
    <w:p w14:paraId="D1000000">
      <w:pPr>
        <w:ind w:firstLine="709" w:left="0"/>
        <w:jc w:val="both"/>
        <w:rPr>
          <w:sz w:val="24"/>
          <w:highlight w:val="yellow"/>
        </w:rPr>
      </w:pPr>
      <w:bookmarkStart w:id="1" w:name="_GoBack"/>
      <w:bookmarkEnd w:id="1"/>
    </w:p>
    <w:p w14:paraId="D2000000">
      <w:pPr>
        <w:tabs>
          <w:tab w:leader="none" w:pos="0" w:val="left"/>
        </w:tabs>
        <w:spacing w:line="288" w:lineRule="auto"/>
        <w:ind/>
        <w:jc w:val="center"/>
        <w:rPr>
          <w:b w:val="1"/>
          <w:sz w:val="28"/>
        </w:rPr>
      </w:pPr>
      <w:r>
        <w:rPr>
          <w:b w:val="1"/>
          <w:sz w:val="28"/>
          <w:u w:val="single"/>
        </w:rPr>
        <w:t>Выводы</w:t>
      </w:r>
      <w:r>
        <w:rPr>
          <w:b w:val="1"/>
          <w:sz w:val="28"/>
        </w:rPr>
        <w:t xml:space="preserve"> по итогам исполнения краевого бюджета за 1 полугодие 2023 года</w:t>
      </w:r>
    </w:p>
    <w:p w14:paraId="D3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1. Несмотря на возникшие в 1 квартале 2023 года проблемы, связанные с внедрением института единого налого</w:t>
      </w:r>
      <w:r>
        <w:rPr>
          <w:sz w:val="28"/>
        </w:rPr>
        <w:t xml:space="preserve">вого счета, к концу 2 квартала 2023 года </w:t>
      </w:r>
      <w:r>
        <w:rPr>
          <w:sz w:val="28"/>
        </w:rPr>
        <w:t>наметился рост поступлений</w:t>
      </w:r>
      <w:r>
        <w:rPr>
          <w:sz w:val="28"/>
        </w:rPr>
        <w:t xml:space="preserve"> налоговых доходов в краевой бюджет (рост налоговых поступлений по сравнению с аналогичным периодом 2022 года составил 2,8 млрд рублей или 20,8 %).</w:t>
      </w:r>
    </w:p>
    <w:p w14:paraId="D4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2. По результатам проведенной раб</w:t>
      </w:r>
      <w:r>
        <w:rPr>
          <w:sz w:val="28"/>
        </w:rPr>
        <w:t>оты с Минфином России и Федеральным казначейством Камчатскому краю на 2023 год установлен лимит предоставления бюджетного кредита на пополнение остатка средств на едином счете бюджета и предоставлены бюджетные кредиты, позволившие частично покрыть кассовый</w:t>
      </w:r>
      <w:r>
        <w:rPr>
          <w:sz w:val="28"/>
        </w:rPr>
        <w:t xml:space="preserve"> разрыв, а также погасить кредиты от кредитных организаций (возобновляемая кредитная линия, открытая в декабре 2022 года) в сумме 2,2 млрд рублей.</w:t>
      </w:r>
    </w:p>
    <w:p w14:paraId="D5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3. Исполнение краевого бюджета по расходам, осуществляемым за счет целевых федеральных средств по итогам 1 по</w:t>
      </w:r>
      <w:r>
        <w:rPr>
          <w:sz w:val="28"/>
        </w:rPr>
        <w:t xml:space="preserve">лугодия 2023 года составило 37,9 % от утвержденных на 2023 год ассигнований, при установленном типовым графиком (контрольных точек) бюджетных и закупочных процедур на федеральном уровне значении на 01.07.2023 – 50,0 %. </w:t>
      </w:r>
    </w:p>
    <w:p w14:paraId="D6000000">
      <w:pPr>
        <w:tabs>
          <w:tab w:leader="none" w:pos="0" w:val="left"/>
        </w:tabs>
        <w:spacing w:line="288" w:lineRule="auto"/>
        <w:ind w:firstLine="709" w:left="0"/>
        <w:jc w:val="center"/>
        <w:rPr>
          <w:b w:val="1"/>
          <w:sz w:val="28"/>
        </w:rPr>
      </w:pPr>
      <w:r>
        <w:rPr>
          <w:b w:val="1"/>
          <w:sz w:val="28"/>
          <w:u w:val="single"/>
        </w:rPr>
        <w:t>Предложения</w:t>
      </w:r>
      <w:r>
        <w:rPr>
          <w:b w:val="1"/>
          <w:sz w:val="28"/>
        </w:rPr>
        <w:t xml:space="preserve"> по итогам исполнения кр</w:t>
      </w:r>
      <w:r>
        <w:rPr>
          <w:b w:val="1"/>
          <w:sz w:val="28"/>
        </w:rPr>
        <w:t xml:space="preserve">аевого бюджета </w:t>
      </w:r>
    </w:p>
    <w:p w14:paraId="D7000000">
      <w:pPr>
        <w:tabs>
          <w:tab w:leader="none" w:pos="0" w:val="left"/>
        </w:tabs>
        <w:spacing w:line="288" w:lineRule="auto"/>
        <w:ind w:firstLine="709" w:left="0"/>
        <w:jc w:val="center"/>
        <w:rPr>
          <w:b w:val="1"/>
          <w:sz w:val="28"/>
        </w:rPr>
      </w:pPr>
      <w:r>
        <w:rPr>
          <w:b w:val="1"/>
          <w:sz w:val="28"/>
        </w:rPr>
        <w:t>за 1 полугодие 2023 года</w:t>
      </w:r>
    </w:p>
    <w:p w14:paraId="D8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1. Главным распорядителям средств краевого бюджета усилить контроль за исполнением расходов краевого бюджета, осуществляемых за счет целевых федеральных средств, с учетом установленных на федеральном уровне сроков (</w:t>
      </w:r>
      <w:r>
        <w:rPr>
          <w:sz w:val="28"/>
        </w:rPr>
        <w:t>на 01.10.2023 – 85,0 % и на 27.12.2023 – 100,0 %).</w:t>
      </w:r>
    </w:p>
    <w:p w14:paraId="D9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2. Министерству финансов Камчатского края:</w:t>
      </w:r>
    </w:p>
    <w:p w14:paraId="DA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>1) продолжить осуществление мониторинга исполнения плановых (прогнозных) назначений по налоговым доходам краевого бюджета с целью исключения рисков неисполнения п</w:t>
      </w:r>
      <w:r>
        <w:rPr>
          <w:sz w:val="28"/>
        </w:rPr>
        <w:t>рогнозных (плановых) назначений по доходам и своевременного внесения изменений в краевой бюджет;</w:t>
      </w:r>
    </w:p>
    <w:p w14:paraId="DB000000">
      <w:pPr>
        <w:tabs>
          <w:tab w:leader="none" w:pos="1134" w:val="left"/>
        </w:tabs>
        <w:spacing w:line="312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2) оперативно реагировать на возникающие проблемы в ходе исполнения краевого бюджета максимально задействовав имеющиеся ресурсы для обеспечения бесперебойного </w:t>
      </w:r>
      <w:r>
        <w:rPr>
          <w:sz w:val="28"/>
        </w:rPr>
        <w:t>процесса исполнения краевого бюджета.</w:t>
      </w:r>
    </w:p>
    <w:sectPr>
      <w:headerReference r:id="rId1" w:type="default"/>
      <w:footerReference r:id="rId2" w:type="default"/>
      <w:pgSz w:h="16834" w:orient="portrait" w:w="11909"/>
      <w:pgMar w:bottom="907" w:footer="442" w:gutter="0" w:header="720" w:left="1134" w:right="567" w:top="907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2"/>
      <w:ind w:right="360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</w:p>
  <w:p w14:paraId="02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"/>
      <w:lvlJc w:val="left"/>
      <w:pPr>
        <w:tabs>
          <w:tab w:leader="none" w:pos="928" w:val="left"/>
        </w:tabs>
        <w:ind w:hanging="360" w:left="928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leader="none" w:pos="2235" w:val="left"/>
        </w:tabs>
        <w:ind w:hanging="360" w:left="2235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leader="none" w:pos="2955" w:val="left"/>
        </w:tabs>
        <w:ind w:hanging="360" w:left="2955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leader="none" w:pos="3675" w:val="left"/>
        </w:tabs>
        <w:ind w:hanging="360" w:left="3675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leader="none" w:pos="4395" w:val="left"/>
        </w:tabs>
        <w:ind w:hanging="360" w:left="4395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leader="none" w:pos="5115" w:val="left"/>
        </w:tabs>
        <w:ind w:hanging="360" w:left="5115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leader="none" w:pos="5835" w:val="left"/>
        </w:tabs>
        <w:ind w:hanging="360" w:left="5835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leader="none" w:pos="6555" w:val="left"/>
        </w:tabs>
        <w:ind w:hanging="360" w:left="6555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leader="none" w:pos="7275" w:val="left"/>
        </w:tabs>
        <w:ind w:hanging="360" w:left="7275"/>
      </w:pPr>
      <w:rPr>
        <w:rFonts w:ascii="Wingdings" w:hAnsi="Wingdings"/>
      </w:rPr>
    </w:lvl>
  </w:abstractNum>
  <w:abstractNum w:abstractNumId="1">
    <w:lvl w:ilvl="0">
      <w:start w:val="1"/>
      <w:numFmt w:val="bullet"/>
      <w:lvlText w:val=""/>
      <w:lvlJc w:val="left"/>
      <w:pPr>
        <w:tabs>
          <w:tab w:leader="none" w:pos="1070" w:val="left"/>
        </w:tabs>
        <w:ind w:hanging="360" w:left="107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leader="none" w:pos="2149" w:val="left"/>
        </w:tabs>
        <w:ind w:hanging="360" w:left="2149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leader="none" w:pos="2869" w:val="left"/>
        </w:tabs>
        <w:ind w:hanging="360" w:left="2869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leader="none" w:pos="3589" w:val="left"/>
        </w:tabs>
        <w:ind w:hanging="360" w:left="3589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leader="none" w:pos="4309" w:val="left"/>
        </w:tabs>
        <w:ind w:hanging="360" w:left="4309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leader="none" w:pos="5029" w:val="left"/>
        </w:tabs>
        <w:ind w:hanging="360" w:left="5029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leader="none" w:pos="5749" w:val="left"/>
        </w:tabs>
        <w:ind w:hanging="360" w:left="5749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leader="none" w:pos="6469" w:val="left"/>
        </w:tabs>
        <w:ind w:hanging="360" w:left="6469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leader="none" w:pos="7189" w:val="left"/>
        </w:tabs>
        <w:ind w:hanging="360" w:left="7189"/>
      </w:pPr>
      <w:rPr>
        <w:rFonts w:ascii="Wingdings" w:hAnsi="Wingdings"/>
      </w:rPr>
    </w:lvl>
  </w:abstractNum>
  <w:abstractNum w:abstractNumId="2">
    <w:lvl w:ilvl="0">
      <w:start w:val="1"/>
      <w:numFmt w:val="bullet"/>
      <w:lvlText w:val=""/>
      <w:lvlJc w:val="left"/>
      <w:pPr>
        <w:ind w:hanging="360" w:left="1637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hanging="360" w:left="179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51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323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95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67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39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611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830"/>
      </w:pPr>
      <w:rPr>
        <w:rFonts w:ascii="Wingdings" w:hAnsi="Wingdings"/>
      </w:rPr>
    </w:lvl>
  </w:abstractNum>
  <w:abstractNum w:abstractNumId="3">
    <w:lvl w:ilvl="0">
      <w:start w:val="1"/>
      <w:numFmt w:val="bullet"/>
      <w:lvlText w:val=""/>
      <w:lvlJc w:val="left"/>
      <w:pPr>
        <w:ind w:hanging="360" w:left="1429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hanging="360" w:left="2149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869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3589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4309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5029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749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6469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7189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ind/>
    </w:pPr>
  </w:style>
  <w:style w:default="1" w:styleId="Style_5_ch" w:type="character">
    <w:name w:val="Normal"/>
    <w:link w:val="Style_5"/>
  </w:style>
  <w:style w:styleId="Style_6" w:type="paragraph">
    <w:name w:val="toc 2"/>
    <w:next w:val="Style_5"/>
    <w:link w:val="Style_6_ch"/>
    <w:uiPriority w:val="39"/>
    <w:pPr>
      <w:ind w:firstLine="0" w:left="200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Знак"/>
    <w:basedOn w:val="Style_5"/>
    <w:link w:val="Style_7_ch"/>
    <w:pPr>
      <w:spacing w:after="160" w:line="240" w:lineRule="exact"/>
      <w:ind/>
      <w:jc w:val="right"/>
    </w:pPr>
  </w:style>
  <w:style w:styleId="Style_7_ch" w:type="character">
    <w:name w:val="Знак"/>
    <w:basedOn w:val="Style_5_ch"/>
    <w:link w:val="Style_7"/>
  </w:style>
  <w:style w:styleId="Style_8" w:type="paragraph">
    <w:name w:val="toc 4"/>
    <w:next w:val="Style_5"/>
    <w:link w:val="Style_8_ch"/>
    <w:uiPriority w:val="39"/>
    <w:pPr>
      <w:ind w:firstLine="0" w:left="600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Номер страницы1"/>
    <w:basedOn w:val="Style_10"/>
    <w:link w:val="Style_9_ch"/>
  </w:style>
  <w:style w:styleId="Style_9_ch" w:type="character">
    <w:name w:val="Номер страницы1"/>
    <w:basedOn w:val="Style_10_ch"/>
    <w:link w:val="Style_9"/>
  </w:style>
  <w:style w:styleId="Style_11" w:type="paragraph">
    <w:name w:val="toc 6"/>
    <w:next w:val="Style_5"/>
    <w:link w:val="Style_11_ch"/>
    <w:uiPriority w:val="39"/>
    <w:pPr>
      <w:ind w:firstLine="0" w:left="1000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5"/>
    <w:link w:val="Style_12_ch"/>
    <w:uiPriority w:val="39"/>
    <w:pPr>
      <w:ind w:firstLine="0" w:left="1200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Гиперссылка2"/>
    <w:link w:val="Style_13_ch"/>
    <w:rPr>
      <w:color w:val="0000FF"/>
      <w:u w:val="single"/>
    </w:rPr>
  </w:style>
  <w:style w:styleId="Style_13_ch" w:type="character">
    <w:name w:val="Гиперссылка2"/>
    <w:link w:val="Style_13"/>
    <w:rPr>
      <w:color w:val="0000FF"/>
      <w:u w:val="single"/>
    </w:rPr>
  </w:style>
  <w:style w:styleId="Style_14" w:type="paragraph">
    <w:name w:val="End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Endnote"/>
    <w:link w:val="Style_14"/>
    <w:rPr>
      <w:rFonts w:ascii="XO Thames" w:hAnsi="XO Thames"/>
      <w:sz w:val="22"/>
    </w:rPr>
  </w:style>
  <w:style w:styleId="Style_15" w:type="paragraph">
    <w:name w:val="heading 3"/>
    <w:next w:val="Style_5"/>
    <w:link w:val="Style_15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10" w:type="paragraph">
    <w:name w:val="Знак Знак Знак Знак Знак Знак Знак Знак Знак Знак Знак Знак"/>
    <w:basedOn w:val="Style_5"/>
    <w:link w:val="Style_10_ch"/>
    <w:pPr>
      <w:widowControl w:val="1"/>
      <w:spacing w:after="160" w:line="240" w:lineRule="exact"/>
      <w:ind/>
    </w:pPr>
    <w:rPr>
      <w:rFonts w:ascii="Verdana" w:hAnsi="Verdana"/>
    </w:rPr>
  </w:style>
  <w:style w:styleId="Style_10_ch" w:type="character">
    <w:name w:val="Знак Знак Знак Знак Знак Знак Знак Знак Знак Знак Знак Знак"/>
    <w:basedOn w:val="Style_5_ch"/>
    <w:link w:val="Style_10"/>
    <w:rPr>
      <w:rFonts w:ascii="Verdana" w:hAnsi="Verdana"/>
    </w:rPr>
  </w:style>
  <w:style w:styleId="Style_16" w:type="paragraph">
    <w:name w:val="Обычный1"/>
    <w:link w:val="Style_16_ch"/>
  </w:style>
  <w:style w:styleId="Style_16_ch" w:type="character">
    <w:name w:val="Обычный1"/>
    <w:link w:val="Style_16"/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17" w:type="paragraph">
    <w:name w:val="Body Text Indent"/>
    <w:basedOn w:val="Style_5"/>
    <w:link w:val="Style_17_ch"/>
    <w:pPr>
      <w:widowControl w:val="1"/>
      <w:spacing w:after="120"/>
      <w:ind w:firstLine="0" w:left="283"/>
    </w:pPr>
  </w:style>
  <w:style w:styleId="Style_17_ch" w:type="character">
    <w:name w:val="Body Text Indent"/>
    <w:basedOn w:val="Style_5_ch"/>
    <w:link w:val="Style_17"/>
  </w:style>
  <w:style w:styleId="Style_18" w:type="paragraph">
    <w:name w:val="annotation subject"/>
    <w:basedOn w:val="Style_19"/>
    <w:next w:val="Style_19"/>
    <w:link w:val="Style_18_ch"/>
    <w:rPr>
      <w:b w:val="1"/>
    </w:rPr>
  </w:style>
  <w:style w:styleId="Style_18_ch" w:type="character">
    <w:name w:val="annotation subject"/>
    <w:basedOn w:val="Style_19_ch"/>
    <w:link w:val="Style_18"/>
    <w:rPr>
      <w:b w:val="1"/>
    </w:rPr>
  </w:style>
  <w:style w:styleId="Style_3" w:type="paragraph">
    <w:name w:val="consplusnormal"/>
    <w:basedOn w:val="Style_5"/>
    <w:link w:val="Style_3_ch"/>
    <w:pPr>
      <w:widowControl w:val="1"/>
      <w:spacing w:afterAutospacing="on" w:before="150"/>
      <w:ind w:firstLine="150" w:left="0"/>
      <w:jc w:val="both"/>
    </w:pPr>
    <w:rPr>
      <w:sz w:val="21"/>
    </w:rPr>
  </w:style>
  <w:style w:styleId="Style_3_ch" w:type="character">
    <w:name w:val="consplusnormal"/>
    <w:basedOn w:val="Style_5_ch"/>
    <w:link w:val="Style_3"/>
    <w:rPr>
      <w:sz w:val="21"/>
    </w:rPr>
  </w:style>
  <w:style w:styleId="Style_20" w:type="paragraph">
    <w:name w:val="Знак Знак Знак Знак"/>
    <w:basedOn w:val="Style_5"/>
    <w:link w:val="Style_20_ch"/>
    <w:pPr>
      <w:widowControl w:val="1"/>
      <w:spacing w:after="160" w:line="240" w:lineRule="exact"/>
      <w:ind/>
    </w:pPr>
    <w:rPr>
      <w:rFonts w:ascii="Verdana" w:hAnsi="Verdana"/>
    </w:rPr>
  </w:style>
  <w:style w:styleId="Style_20_ch" w:type="character">
    <w:name w:val="Знак Знак Знак Знак"/>
    <w:basedOn w:val="Style_5_ch"/>
    <w:link w:val="Style_20"/>
    <w:rPr>
      <w:rFonts w:ascii="Verdana" w:hAnsi="Verdana"/>
    </w:rPr>
  </w:style>
  <w:style w:styleId="Style_21" w:type="paragraph">
    <w:name w:val="Balloon Text"/>
    <w:basedOn w:val="Style_5"/>
    <w:link w:val="Style_21_ch"/>
    <w:rPr>
      <w:rFonts w:ascii="Tahoma" w:hAnsi="Tahoma"/>
      <w:sz w:val="16"/>
    </w:rPr>
  </w:style>
  <w:style w:styleId="Style_21_ch" w:type="character">
    <w:name w:val="Balloon Text"/>
    <w:basedOn w:val="Style_5_ch"/>
    <w:link w:val="Style_21"/>
    <w:rPr>
      <w:rFonts w:ascii="Tahoma" w:hAnsi="Tahoma"/>
      <w:sz w:val="16"/>
    </w:rPr>
  </w:style>
  <w:style w:styleId="Style_22" w:type="paragraph">
    <w:name w:val="toc 3"/>
    <w:next w:val="Style_5"/>
    <w:link w:val="Style_22_ch"/>
    <w:uiPriority w:val="39"/>
    <w:pPr>
      <w:ind w:firstLine="0" w:left="400"/>
    </w:pPr>
    <w:rPr>
      <w:rFonts w:ascii="XO Thames" w:hAnsi="XO Thames"/>
      <w:sz w:val="28"/>
    </w:rPr>
  </w:style>
  <w:style w:styleId="Style_22_ch" w:type="character">
    <w:name w:val="toc 3"/>
    <w:link w:val="Style_22"/>
    <w:rPr>
      <w:rFonts w:ascii="XO Thames" w:hAnsi="XO Thames"/>
      <w:sz w:val="28"/>
    </w:rPr>
  </w:style>
  <w:style w:styleId="Style_23" w:type="paragraph">
    <w:name w:val="Основной шрифт абзаца1"/>
    <w:link w:val="Style_23_ch"/>
  </w:style>
  <w:style w:styleId="Style_23_ch" w:type="character">
    <w:name w:val="Основной шрифт абзаца1"/>
    <w:link w:val="Style_23"/>
  </w:style>
  <w:style w:styleId="Style_24" w:type="paragraph">
    <w:name w:val="Знак Знак Знак Знак"/>
    <w:basedOn w:val="Style_5"/>
    <w:link w:val="Style_24_ch"/>
    <w:pPr>
      <w:widowControl w:val="1"/>
      <w:spacing w:afterAutospacing="on" w:beforeAutospacing="on"/>
      <w:ind/>
    </w:pPr>
    <w:rPr>
      <w:rFonts w:ascii="Tahoma" w:hAnsi="Tahoma"/>
    </w:rPr>
  </w:style>
  <w:style w:styleId="Style_24_ch" w:type="character">
    <w:name w:val="Знак Знак Знак Знак"/>
    <w:basedOn w:val="Style_5_ch"/>
    <w:link w:val="Style_24"/>
    <w:rPr>
      <w:rFonts w:ascii="Tahoma" w:hAnsi="Tahoma"/>
    </w:rPr>
  </w:style>
  <w:style w:styleId="Style_25" w:type="paragraph">
    <w:name w:val="Normal (Web)"/>
    <w:basedOn w:val="Style_5"/>
    <w:link w:val="Style_25_ch"/>
    <w:pPr>
      <w:widowControl w:val="1"/>
      <w:spacing w:afterAutospacing="on" w:beforeAutospacing="on"/>
      <w:ind/>
    </w:pPr>
    <w:rPr>
      <w:sz w:val="24"/>
    </w:rPr>
  </w:style>
  <w:style w:styleId="Style_25_ch" w:type="character">
    <w:name w:val="Normal (Web)"/>
    <w:basedOn w:val="Style_5_ch"/>
    <w:link w:val="Style_25"/>
    <w:rPr>
      <w:sz w:val="24"/>
    </w:rPr>
  </w:style>
  <w:style w:styleId="Style_26" w:type="paragraph">
    <w:name w:val="heading 5"/>
    <w:next w:val="Style_5"/>
    <w:link w:val="Style_2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6_ch" w:type="character">
    <w:name w:val="heading 5"/>
    <w:link w:val="Style_26"/>
    <w:rPr>
      <w:rFonts w:ascii="XO Thames" w:hAnsi="XO Thames"/>
      <w:b w:val="1"/>
      <w:sz w:val="22"/>
    </w:rPr>
  </w:style>
  <w:style w:styleId="Style_27" w:type="paragraph">
    <w:name w:val="heading 1"/>
    <w:basedOn w:val="Style_5"/>
    <w:next w:val="Style_5"/>
    <w:link w:val="Style_27_ch"/>
    <w:uiPriority w:val="9"/>
    <w:qFormat/>
    <w:pPr>
      <w:keepNext w:val="1"/>
      <w:spacing w:after="60" w:before="240"/>
      <w:ind/>
      <w:outlineLvl w:val="0"/>
    </w:pPr>
    <w:rPr>
      <w:rFonts w:ascii="Cambria" w:hAnsi="Cambria"/>
      <w:b w:val="1"/>
      <w:sz w:val="32"/>
    </w:rPr>
  </w:style>
  <w:style w:styleId="Style_27_ch" w:type="character">
    <w:name w:val="heading 1"/>
    <w:basedOn w:val="Style_5_ch"/>
    <w:link w:val="Style_27"/>
    <w:rPr>
      <w:rFonts w:ascii="Cambria" w:hAnsi="Cambria"/>
      <w:b w:val="1"/>
      <w:sz w:val="32"/>
    </w:rPr>
  </w:style>
  <w:style w:styleId="Style_28" w:type="paragraph">
    <w:name w:val="Body Text"/>
    <w:basedOn w:val="Style_5"/>
    <w:link w:val="Style_28_ch"/>
    <w:pPr>
      <w:spacing w:after="120"/>
      <w:ind/>
    </w:pPr>
  </w:style>
  <w:style w:styleId="Style_28_ch" w:type="character">
    <w:name w:val="Body Text"/>
    <w:basedOn w:val="Style_5_ch"/>
    <w:link w:val="Style_28"/>
  </w:style>
  <w:style w:styleId="Style_29" w:type="paragraph">
    <w:name w:val="Hyperlink"/>
    <w:link w:val="Style_29_ch"/>
    <w:rPr>
      <w:color w:val="0000FF"/>
      <w:u w:val="single"/>
    </w:rPr>
  </w:style>
  <w:style w:styleId="Style_29_ch" w:type="character">
    <w:name w:val="Hyperlink"/>
    <w:link w:val="Style_29"/>
    <w:rPr>
      <w:color w:val="0000FF"/>
      <w:u w:val="single"/>
    </w:rPr>
  </w:style>
  <w:style w:styleId="Style_30" w:type="paragraph">
    <w:name w:val="Footnote"/>
    <w:basedOn w:val="Style_5"/>
    <w:link w:val="Style_30_ch"/>
    <w:pPr>
      <w:widowControl w:val="1"/>
      <w:ind/>
    </w:pPr>
  </w:style>
  <w:style w:styleId="Style_30_ch" w:type="character">
    <w:name w:val="Footnote"/>
    <w:basedOn w:val="Style_5_ch"/>
    <w:link w:val="Style_30"/>
  </w:style>
  <w:style w:styleId="Style_31" w:type="paragraph">
    <w:name w:val="toc 1"/>
    <w:next w:val="Style_5"/>
    <w:link w:val="Style_31_ch"/>
    <w:uiPriority w:val="39"/>
    <w:rPr>
      <w:rFonts w:ascii="XO Thames" w:hAnsi="XO Thames"/>
      <w:b w:val="1"/>
      <w:sz w:val="28"/>
    </w:rPr>
  </w:style>
  <w:style w:styleId="Style_31_ch" w:type="character">
    <w:name w:val="toc 1"/>
    <w:link w:val="Style_31"/>
    <w:rPr>
      <w:rFonts w:ascii="XO Thames" w:hAnsi="XO Thames"/>
      <w:b w:val="1"/>
      <w:sz w:val="28"/>
    </w:rPr>
  </w:style>
  <w:style w:styleId="Style_32" w:type="paragraph">
    <w:name w:val="Header and Footer"/>
    <w:link w:val="Style_32_ch"/>
    <w:pPr>
      <w:ind/>
      <w:jc w:val="both"/>
    </w:pPr>
    <w:rPr>
      <w:rFonts w:ascii="XO Thames" w:hAnsi="XO Thames"/>
    </w:rPr>
  </w:style>
  <w:style w:styleId="Style_32_ch" w:type="character">
    <w:name w:val="Header and Footer"/>
    <w:link w:val="Style_32"/>
    <w:rPr>
      <w:rFonts w:ascii="XO Thames" w:hAnsi="XO Thames"/>
    </w:rPr>
  </w:style>
  <w:style w:styleId="Style_2" w:type="paragraph">
    <w:name w:val="footer"/>
    <w:basedOn w:val="Style_5"/>
    <w:link w:val="Style_2_ch"/>
    <w:pPr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5_ch"/>
    <w:link w:val="Style_2"/>
  </w:style>
  <w:style w:styleId="Style_33" w:type="paragraph">
    <w:name w:val="toc 9"/>
    <w:next w:val="Style_5"/>
    <w:link w:val="Style_33_ch"/>
    <w:uiPriority w:val="39"/>
    <w:pPr>
      <w:ind w:firstLine="0" w:left="1600"/>
    </w:pPr>
    <w:rPr>
      <w:rFonts w:ascii="XO Thames" w:hAnsi="XO Thames"/>
      <w:sz w:val="28"/>
    </w:rPr>
  </w:style>
  <w:style w:styleId="Style_33_ch" w:type="character">
    <w:name w:val="toc 9"/>
    <w:link w:val="Style_33"/>
    <w:rPr>
      <w:rFonts w:ascii="XO Thames" w:hAnsi="XO Thames"/>
      <w:sz w:val="28"/>
    </w:rPr>
  </w:style>
  <w:style w:styleId="Style_34" w:type="paragraph">
    <w:name w:val="ConsPlusNormal"/>
    <w:link w:val="Style_34_ch"/>
    <w:pPr>
      <w:widowControl w:val="0"/>
      <w:ind w:firstLine="720" w:left="0"/>
    </w:pPr>
    <w:rPr>
      <w:rFonts w:ascii="Arial" w:hAnsi="Arial"/>
    </w:rPr>
  </w:style>
  <w:style w:styleId="Style_34_ch" w:type="character">
    <w:name w:val="ConsPlusNormal"/>
    <w:link w:val="Style_34"/>
    <w:rPr>
      <w:rFonts w:ascii="Arial" w:hAnsi="Arial"/>
    </w:rPr>
  </w:style>
  <w:style w:styleId="Style_35" w:type="paragraph">
    <w:name w:val="Обычный1"/>
    <w:link w:val="Style_35_ch"/>
  </w:style>
  <w:style w:styleId="Style_35_ch" w:type="character">
    <w:name w:val="Обычный1"/>
    <w:link w:val="Style_35"/>
  </w:style>
  <w:style w:styleId="Style_36" w:type="paragraph">
    <w:name w:val="Основной шрифт абзаца2"/>
    <w:link w:val="Style_36_ch"/>
  </w:style>
  <w:style w:styleId="Style_36_ch" w:type="character">
    <w:name w:val="Основной шрифт абзаца2"/>
    <w:link w:val="Style_36"/>
  </w:style>
  <w:style w:styleId="Style_37" w:type="paragraph">
    <w:name w:val="toc 8"/>
    <w:next w:val="Style_5"/>
    <w:link w:val="Style_37_ch"/>
    <w:uiPriority w:val="39"/>
    <w:pPr>
      <w:ind w:firstLine="0" w:left="1400"/>
    </w:pPr>
    <w:rPr>
      <w:rFonts w:ascii="XO Thames" w:hAnsi="XO Thames"/>
      <w:sz w:val="28"/>
    </w:rPr>
  </w:style>
  <w:style w:styleId="Style_37_ch" w:type="character">
    <w:name w:val="toc 8"/>
    <w:link w:val="Style_37"/>
    <w:rPr>
      <w:rFonts w:ascii="XO Thames" w:hAnsi="XO Thames"/>
      <w:sz w:val="28"/>
    </w:rPr>
  </w:style>
  <w:style w:styleId="Style_19" w:type="paragraph">
    <w:name w:val="annotation text"/>
    <w:basedOn w:val="Style_5"/>
    <w:link w:val="Style_19_ch"/>
  </w:style>
  <w:style w:styleId="Style_19_ch" w:type="character">
    <w:name w:val="annotation text"/>
    <w:basedOn w:val="Style_5_ch"/>
    <w:link w:val="Style_19"/>
  </w:style>
  <w:style w:styleId="Style_38" w:type="paragraph">
    <w:name w:val="Знак примечания1"/>
    <w:link w:val="Style_38_ch"/>
    <w:rPr>
      <w:sz w:val="16"/>
    </w:rPr>
  </w:style>
  <w:style w:styleId="Style_38_ch" w:type="character">
    <w:name w:val="Знак примечания1"/>
    <w:link w:val="Style_38"/>
    <w:rPr>
      <w:sz w:val="16"/>
    </w:rPr>
  </w:style>
  <w:style w:styleId="Style_39" w:type="paragraph">
    <w:name w:val="toc 5"/>
    <w:next w:val="Style_5"/>
    <w:link w:val="Style_39_ch"/>
    <w:uiPriority w:val="39"/>
    <w:pPr>
      <w:ind w:firstLine="0" w:left="800"/>
    </w:pPr>
    <w:rPr>
      <w:rFonts w:ascii="XO Thames" w:hAnsi="XO Thames"/>
      <w:sz w:val="28"/>
    </w:rPr>
  </w:style>
  <w:style w:styleId="Style_39_ch" w:type="character">
    <w:name w:val="toc 5"/>
    <w:link w:val="Style_39"/>
    <w:rPr>
      <w:rFonts w:ascii="XO Thames" w:hAnsi="XO Thames"/>
      <w:sz w:val="28"/>
    </w:rPr>
  </w:style>
  <w:style w:styleId="Style_40" w:type="paragraph">
    <w:name w:val="pers1"/>
    <w:basedOn w:val="Style_10"/>
    <w:link w:val="Style_40_ch"/>
  </w:style>
  <w:style w:styleId="Style_40_ch" w:type="character">
    <w:name w:val="pers1"/>
    <w:basedOn w:val="Style_10_ch"/>
    <w:link w:val="Style_40"/>
  </w:style>
  <w:style w:styleId="Style_41" w:type="paragraph">
    <w:name w:val="Знак сноски1"/>
    <w:link w:val="Style_41_ch"/>
    <w:rPr>
      <w:vertAlign w:val="superscript"/>
    </w:rPr>
  </w:style>
  <w:style w:styleId="Style_41_ch" w:type="character">
    <w:name w:val="Знак сноски1"/>
    <w:link w:val="Style_41"/>
    <w:rPr>
      <w:vertAlign w:val="superscript"/>
    </w:rPr>
  </w:style>
  <w:style w:styleId="Style_42" w:type="paragraph">
    <w:name w:val="ЭЭГ"/>
    <w:basedOn w:val="Style_5"/>
    <w:link w:val="Style_42_ch"/>
    <w:pPr>
      <w:widowControl w:val="1"/>
      <w:spacing w:line="360" w:lineRule="auto"/>
      <w:ind w:firstLine="720" w:left="0"/>
      <w:jc w:val="both"/>
    </w:pPr>
    <w:rPr>
      <w:sz w:val="24"/>
    </w:rPr>
  </w:style>
  <w:style w:styleId="Style_42_ch" w:type="character">
    <w:name w:val="ЭЭГ"/>
    <w:basedOn w:val="Style_5_ch"/>
    <w:link w:val="Style_42"/>
    <w:rPr>
      <w:sz w:val="24"/>
    </w:rPr>
  </w:style>
  <w:style w:styleId="Style_43" w:type="paragraph">
    <w:name w:val="Subtitle"/>
    <w:next w:val="Style_5"/>
    <w:link w:val="Style_4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43_ch" w:type="character">
    <w:name w:val="Subtitle"/>
    <w:link w:val="Style_43"/>
    <w:rPr>
      <w:rFonts w:ascii="XO Thames" w:hAnsi="XO Thames"/>
      <w:i w:val="1"/>
      <w:sz w:val="24"/>
    </w:rPr>
  </w:style>
  <w:style w:styleId="Style_44" w:type="paragraph">
    <w:name w:val="Строгий1"/>
    <w:link w:val="Style_44_ch"/>
    <w:rPr>
      <w:b w:val="1"/>
    </w:rPr>
  </w:style>
  <w:style w:styleId="Style_44_ch" w:type="character">
    <w:name w:val="Строгий1"/>
    <w:link w:val="Style_44"/>
    <w:rPr>
      <w:b w:val="1"/>
    </w:rPr>
  </w:style>
  <w:style w:styleId="Style_45" w:type="paragraph">
    <w:name w:val="Title"/>
    <w:next w:val="Style_5"/>
    <w:link w:val="Style_4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45_ch" w:type="character">
    <w:name w:val="Title"/>
    <w:link w:val="Style_45"/>
    <w:rPr>
      <w:rFonts w:ascii="XO Thames" w:hAnsi="XO Thames"/>
      <w:b w:val="1"/>
      <w:caps w:val="1"/>
      <w:sz w:val="40"/>
    </w:rPr>
  </w:style>
  <w:style w:styleId="Style_46" w:type="paragraph">
    <w:name w:val="heading 4"/>
    <w:next w:val="Style_5"/>
    <w:link w:val="Style_4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6_ch" w:type="character">
    <w:name w:val="heading 4"/>
    <w:link w:val="Style_46"/>
    <w:rPr>
      <w:rFonts w:ascii="XO Thames" w:hAnsi="XO Thames"/>
      <w:b w:val="1"/>
      <w:sz w:val="24"/>
    </w:rPr>
  </w:style>
  <w:style w:styleId="Style_47" w:type="paragraph">
    <w:name w:val="Гиперссылка1"/>
    <w:link w:val="Style_47_ch"/>
    <w:rPr>
      <w:color w:val="3366B6"/>
      <w:u w:val="single"/>
    </w:rPr>
  </w:style>
  <w:style w:styleId="Style_47_ch" w:type="character">
    <w:name w:val="Гиперссылка1"/>
    <w:link w:val="Style_47"/>
    <w:rPr>
      <w:color w:val="3366B6"/>
      <w:u w:val="single"/>
    </w:rPr>
  </w:style>
  <w:style w:styleId="Style_48" w:type="paragraph">
    <w:name w:val="heading 2"/>
    <w:basedOn w:val="Style_5"/>
    <w:next w:val="Style_5"/>
    <w:link w:val="Style_48_ch"/>
    <w:uiPriority w:val="9"/>
    <w:qFormat/>
    <w:pPr>
      <w:keepNext w:val="1"/>
      <w:widowControl w:val="1"/>
      <w:spacing w:after="60" w:before="240"/>
      <w:ind/>
      <w:outlineLvl w:val="1"/>
    </w:pPr>
    <w:rPr>
      <w:rFonts w:ascii="Arial" w:hAnsi="Arial"/>
      <w:b w:val="1"/>
      <w:i w:val="1"/>
      <w:sz w:val="28"/>
    </w:rPr>
  </w:style>
  <w:style w:styleId="Style_48_ch" w:type="character">
    <w:name w:val="heading 2"/>
    <w:basedOn w:val="Style_5_ch"/>
    <w:link w:val="Style_48"/>
    <w:rPr>
      <w:rFonts w:ascii="Arial" w:hAnsi="Arial"/>
      <w:b w:val="1"/>
      <w:i w:val="1"/>
      <w:sz w:val="28"/>
    </w:rPr>
  </w:style>
  <w:style w:styleId="Style_49" w:type="paragraph">
    <w:name w:val="Default Paragraph Font"/>
    <w:link w:val="Style_49_ch"/>
  </w:style>
  <w:style w:styleId="Style_49_ch" w:type="character">
    <w:name w:val="Default Paragraph Font"/>
    <w:link w:val="Style_49"/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50" w:type="table">
    <w:name w:val="Table Grid"/>
    <w:basedOn w:val="Style_4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numbering.xml" Type="http://schemas.openxmlformats.org/officeDocument/2006/relationships/numbering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footer2.xml" Type="http://schemas.openxmlformats.org/officeDocument/2006/relationships/foot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2023-09-06T22:36:51Z</dcterms:modified>
</cp:coreProperties>
</file>